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left"/>
        <w:outlineLvl w:val="0"/>
        <w:rPr>
          <w:rFonts w:ascii="方正小标宋简体" w:hAnsi="宋体" w:eastAsia="方正小标宋简体"/>
          <w:szCs w:val="21"/>
        </w:rPr>
      </w:pPr>
      <w:bookmarkStart w:id="0" w:name="_Toc15306267"/>
    </w:p>
    <w:p>
      <w:pPr>
        <w:spacing w:line="600" w:lineRule="exact"/>
        <w:jc w:val="center"/>
        <w:outlineLvl w:val="0"/>
        <w:rPr>
          <w:rFonts w:ascii="方正小标宋简体" w:hAnsi="宋体" w:eastAsia="方正小标宋简体"/>
          <w:sz w:val="72"/>
          <w:szCs w:val="72"/>
        </w:rPr>
      </w:pPr>
    </w:p>
    <w:p>
      <w:pPr>
        <w:spacing w:line="600" w:lineRule="exact"/>
        <w:jc w:val="center"/>
        <w:outlineLvl w:val="0"/>
        <w:rPr>
          <w:rFonts w:ascii="方正小标宋简体" w:hAnsi="宋体" w:eastAsia="方正小标宋简体"/>
          <w:sz w:val="72"/>
          <w:szCs w:val="72"/>
        </w:rPr>
      </w:pPr>
    </w:p>
    <w:p>
      <w:pPr>
        <w:pStyle w:val="2"/>
        <w:spacing w:before="93"/>
      </w:pPr>
    </w:p>
    <w:p>
      <w:pPr>
        <w:pStyle w:val="2"/>
        <w:spacing w:before="93"/>
        <w:jc w:val="center"/>
      </w:pPr>
    </w:p>
    <w:p>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1" w:name="_Toc15396597"/>
      <w:bookmarkStart w:id="2" w:name="_Toc15377193"/>
      <w:bookmarkStart w:id="3" w:name="_Toc144135688"/>
      <w:bookmarkStart w:id="4" w:name="_Toc15396475"/>
      <w:bookmarkStart w:id="5" w:name="_Toc15377425"/>
      <w:bookmarkStart w:id="6" w:name="_Toc15378441"/>
      <w:r>
        <w:rPr>
          <w:rFonts w:hint="eastAsia" w:ascii="方正小标宋简体" w:hAnsi="方正小标宋简体" w:eastAsia="方正小标宋简体" w:cs="方正小标宋简体"/>
          <w:sz w:val="72"/>
          <w:szCs w:val="72"/>
        </w:rPr>
        <w:t>2022年度</w:t>
      </w:r>
      <w:bookmarkEnd w:id="1"/>
      <w:bookmarkEnd w:id="2"/>
      <w:bookmarkEnd w:id="3"/>
      <w:bookmarkEnd w:id="4"/>
      <w:bookmarkEnd w:id="5"/>
      <w:bookmarkEnd w:id="6"/>
    </w:p>
    <w:p>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7" w:name="_Toc15396476"/>
      <w:bookmarkStart w:id="8" w:name="_Toc15377194"/>
      <w:bookmarkStart w:id="9" w:name="_Toc144135689"/>
      <w:bookmarkStart w:id="10" w:name="_Toc15396598"/>
      <w:bookmarkStart w:id="11" w:name="_Toc15378442"/>
      <w:bookmarkStart w:id="12" w:name="_Toc15377426"/>
      <w:r>
        <w:rPr>
          <w:rFonts w:hint="eastAsia" w:ascii="方正小标宋简体" w:hAnsi="方正小标宋简体" w:eastAsia="方正小标宋简体" w:cs="方正小标宋简体"/>
          <w:sz w:val="72"/>
          <w:szCs w:val="72"/>
        </w:rPr>
        <w:t>四</w:t>
      </w:r>
      <w:bookmarkEnd w:id="0"/>
      <w:bookmarkStart w:id="13" w:name="_Toc15306268"/>
      <w:r>
        <w:rPr>
          <w:rFonts w:hint="eastAsia" w:ascii="方正小标宋简体" w:hAnsi="方正小标宋简体" w:eastAsia="方正小标宋简体" w:cs="方正小标宋简体"/>
          <w:sz w:val="72"/>
          <w:szCs w:val="72"/>
        </w:rPr>
        <w:t>川文理学院单位决算</w:t>
      </w:r>
      <w:bookmarkEnd w:id="7"/>
      <w:bookmarkEnd w:id="8"/>
      <w:bookmarkEnd w:id="9"/>
      <w:bookmarkEnd w:id="10"/>
      <w:bookmarkEnd w:id="11"/>
      <w:bookmarkEnd w:id="12"/>
      <w:bookmarkEnd w:id="13"/>
    </w:p>
    <w:p>
      <w:pPr>
        <w:widowControl/>
        <w:jc w:val="center"/>
        <w:rPr>
          <w:rFonts w:ascii="方正小标宋简体" w:hAnsi="宋体" w:eastAsia="方正小标宋简体"/>
          <w:sz w:val="36"/>
          <w:szCs w:val="36"/>
        </w:rPr>
      </w:pPr>
      <w:r>
        <w:rPr>
          <w:rFonts w:ascii="方正小标宋简体" w:hAnsi="宋体" w:eastAsia="方正小标宋简体"/>
          <w:sz w:val="36"/>
          <w:szCs w:val="36"/>
        </w:rPr>
        <w:br w:type="page"/>
      </w:r>
      <w:bookmarkStart w:id="14" w:name="_Toc15396599"/>
      <w:bookmarkStart w:id="15" w:name="_Toc15377196"/>
    </w:p>
    <w:sdt>
      <w:sdtPr>
        <w:rPr>
          <w:rFonts w:ascii="Times New Roman" w:hAnsi="Times New Roman" w:eastAsia="宋体" w:cs="Times New Roman"/>
          <w:b w:val="0"/>
          <w:bCs w:val="0"/>
          <w:color w:val="auto"/>
          <w:kern w:val="2"/>
          <w:sz w:val="21"/>
          <w:szCs w:val="24"/>
          <w:lang w:val="zh-CN"/>
        </w:rPr>
        <w:id w:val="-1500273466"/>
        <w:docPartObj>
          <w:docPartGallery w:val="Table of Contents"/>
          <w:docPartUnique/>
        </w:docPartObj>
      </w:sdtPr>
      <w:sdtEndPr>
        <w:rPr>
          <w:rFonts w:ascii="Times New Roman" w:hAnsi="Times New Roman" w:eastAsia="宋体" w:cs="Times New Roman"/>
          <w:b w:val="0"/>
          <w:bCs w:val="0"/>
          <w:color w:val="auto"/>
          <w:kern w:val="2"/>
          <w:sz w:val="21"/>
          <w:szCs w:val="24"/>
          <w:lang w:val="zh-CN"/>
        </w:rPr>
      </w:sdtEndPr>
      <w:sdtContent>
        <w:p>
          <w:pPr>
            <w:pStyle w:val="30"/>
            <w:jc w:val="center"/>
            <w:rPr>
              <w:rFonts w:hint="eastAsia" w:ascii="方正小标宋_GBK" w:eastAsia="方正小标宋_GBK"/>
              <w:color w:val="auto"/>
              <w:sz w:val="44"/>
              <w:szCs w:val="32"/>
              <w:lang w:val="zh-CN"/>
            </w:rPr>
          </w:pPr>
          <w:r>
            <w:rPr>
              <w:rFonts w:hint="eastAsia" w:ascii="方正小标宋_GBK" w:eastAsia="方正小标宋_GBK"/>
              <w:color w:val="auto"/>
              <w:sz w:val="44"/>
              <w:szCs w:val="32"/>
              <w:lang w:val="zh-CN"/>
            </w:rPr>
            <w:t>目</w:t>
          </w:r>
          <w:r>
            <w:rPr>
              <w:rFonts w:hint="eastAsia" w:ascii="方正小标宋_GBK" w:eastAsia="方正小标宋_GBK"/>
              <w:color w:val="auto"/>
              <w:sz w:val="44"/>
              <w:szCs w:val="32"/>
              <w:lang w:val="en-US" w:eastAsia="zh-CN"/>
            </w:rPr>
            <w:t xml:space="preserve">  </w:t>
          </w:r>
          <w:r>
            <w:rPr>
              <w:rFonts w:hint="eastAsia" w:ascii="方正小标宋_GBK" w:eastAsia="方正小标宋_GBK"/>
              <w:color w:val="auto"/>
              <w:sz w:val="44"/>
              <w:szCs w:val="32"/>
              <w:lang w:val="zh-CN"/>
            </w:rPr>
            <w:t>录</w:t>
          </w:r>
        </w:p>
        <w:p>
          <w:pPr>
            <w:jc w:val="cente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公开时间：2023年9月6日</w:t>
          </w:r>
        </w:p>
        <w:p>
          <w:pPr>
            <w:pStyle w:val="10"/>
            <w:rPr>
              <w:rFonts w:asciiTheme="minorHAnsi" w:hAnsiTheme="minorHAnsi" w:eastAsiaTheme="minorEastAsia" w:cstheme="minorBidi"/>
              <w:sz w:val="21"/>
              <w:szCs w:val="22"/>
            </w:rPr>
          </w:pPr>
          <w:r>
            <w:fldChar w:fldCharType="begin"/>
          </w:r>
          <w:r>
            <w:instrText xml:space="preserve"> TOC \o "1-3" \h \z \u </w:instrText>
          </w:r>
          <w:r>
            <w:fldChar w:fldCharType="separate"/>
          </w:r>
        </w:p>
        <w:p>
          <w:pPr>
            <w:pStyle w:val="10"/>
            <w:jc w:val="left"/>
            <w:rPr>
              <w:rFonts w:ascii="仿宋_GB2312" w:eastAsia="仿宋_GB2312" w:cstheme="minorBidi"/>
              <w:sz w:val="30"/>
              <w:szCs w:val="30"/>
            </w:rPr>
          </w:pPr>
          <w:r>
            <w:fldChar w:fldCharType="begin"/>
          </w:r>
          <w:r>
            <w:instrText xml:space="preserve"> HYPERLINK \l "_Toc144135690" </w:instrText>
          </w:r>
          <w:r>
            <w:fldChar w:fldCharType="separate"/>
          </w:r>
          <w:r>
            <w:rPr>
              <w:rStyle w:val="15"/>
              <w:rFonts w:hint="eastAsia" w:ascii="仿宋_GB2312" w:eastAsia="仿宋_GB2312"/>
              <w:sz w:val="30"/>
              <w:szCs w:val="30"/>
            </w:rPr>
            <w:t>第一部分 单位概况</w:t>
          </w:r>
          <w:r>
            <w:rPr>
              <w:rFonts w:hint="eastAsia" w:ascii="仿宋_GB2312" w:eastAsia="仿宋_GB2312"/>
              <w:sz w:val="30"/>
              <w:szCs w:val="30"/>
            </w:rPr>
            <w:tab/>
          </w:r>
          <w:r>
            <w:rPr>
              <w:rFonts w:hint="eastAsia" w:ascii="仿宋_GB2312" w:eastAsia="仿宋_GB2312"/>
              <w:sz w:val="30"/>
              <w:szCs w:val="30"/>
            </w:rPr>
            <w:t>1</w:t>
          </w:r>
          <w:r>
            <w:rPr>
              <w:rFonts w:hint="eastAsia" w:ascii="仿宋_GB2312" w:eastAsia="仿宋_GB2312"/>
              <w:sz w:val="30"/>
              <w:szCs w:val="30"/>
            </w:rPr>
            <w:fldChar w:fldCharType="end"/>
          </w:r>
        </w:p>
        <w:p>
          <w:pPr>
            <w:pStyle w:val="11"/>
            <w:rPr>
              <w:rFonts w:ascii="仿宋_GB2312" w:hAnsi="仿宋" w:eastAsia="仿宋_GB2312" w:cstheme="minorBidi"/>
              <w:sz w:val="30"/>
              <w:szCs w:val="30"/>
            </w:rPr>
          </w:pPr>
          <w:r>
            <w:fldChar w:fldCharType="begin"/>
          </w:r>
          <w:r>
            <w:instrText xml:space="preserve"> HYPERLINK \l "_Toc144135691" </w:instrText>
          </w:r>
          <w:r>
            <w:fldChar w:fldCharType="separate"/>
          </w:r>
          <w:r>
            <w:rPr>
              <w:rStyle w:val="15"/>
              <w:rFonts w:hint="eastAsia" w:ascii="仿宋_GB2312" w:hAnsi="仿宋" w:eastAsia="仿宋_GB2312"/>
              <w:sz w:val="30"/>
              <w:szCs w:val="30"/>
            </w:rPr>
            <w:t>一、主要职责</w:t>
          </w:r>
          <w:r>
            <w:rPr>
              <w:rFonts w:hint="eastAsia" w:ascii="仿宋_GB2312" w:hAnsi="仿宋" w:eastAsia="仿宋_GB2312"/>
              <w:sz w:val="30"/>
              <w:szCs w:val="30"/>
            </w:rPr>
            <w:tab/>
          </w:r>
          <w:r>
            <w:rPr>
              <w:rFonts w:hint="eastAsia" w:ascii="仿宋_GB2312" w:hAnsi="仿宋" w:eastAsia="仿宋_GB2312"/>
              <w:sz w:val="30"/>
              <w:szCs w:val="30"/>
            </w:rPr>
            <w:fldChar w:fldCharType="begin"/>
          </w:r>
          <w:r>
            <w:rPr>
              <w:rFonts w:hint="eastAsia" w:ascii="仿宋_GB2312" w:hAnsi="仿宋" w:eastAsia="仿宋_GB2312"/>
              <w:sz w:val="30"/>
              <w:szCs w:val="30"/>
            </w:rPr>
            <w:instrText xml:space="preserve"> PAGEREF _Toc144135691 \h </w:instrText>
          </w:r>
          <w:r>
            <w:rPr>
              <w:rFonts w:hint="eastAsia" w:ascii="仿宋_GB2312" w:hAnsi="仿宋" w:eastAsia="仿宋_GB2312"/>
              <w:sz w:val="30"/>
              <w:szCs w:val="30"/>
            </w:rPr>
            <w:fldChar w:fldCharType="separate"/>
          </w:r>
          <w:r>
            <w:rPr>
              <w:rFonts w:hint="eastAsia" w:ascii="仿宋_GB2312" w:hAnsi="仿宋" w:eastAsia="仿宋_GB2312"/>
              <w:sz w:val="30"/>
              <w:szCs w:val="30"/>
            </w:rPr>
            <w:t>1</w:t>
          </w:r>
          <w:r>
            <w:rPr>
              <w:rFonts w:hint="eastAsia" w:ascii="仿宋_GB2312" w:hAnsi="仿宋" w:eastAsia="仿宋_GB2312"/>
              <w:sz w:val="30"/>
              <w:szCs w:val="30"/>
            </w:rPr>
            <w:fldChar w:fldCharType="end"/>
          </w:r>
          <w:r>
            <w:rPr>
              <w:rFonts w:hint="eastAsia" w:ascii="仿宋_GB2312" w:hAnsi="仿宋" w:eastAsia="仿宋_GB2312"/>
              <w:sz w:val="30"/>
              <w:szCs w:val="30"/>
            </w:rPr>
            <w:fldChar w:fldCharType="end"/>
          </w:r>
        </w:p>
        <w:p>
          <w:pPr>
            <w:pStyle w:val="11"/>
            <w:rPr>
              <w:rFonts w:ascii="仿宋_GB2312" w:hAnsi="仿宋" w:eastAsia="仿宋_GB2312" w:cstheme="minorBidi"/>
              <w:sz w:val="30"/>
              <w:szCs w:val="30"/>
            </w:rPr>
          </w:pPr>
          <w:r>
            <w:fldChar w:fldCharType="begin"/>
          </w:r>
          <w:r>
            <w:instrText xml:space="preserve"> HYPERLINK \l "_Toc144135692" </w:instrText>
          </w:r>
          <w:r>
            <w:fldChar w:fldCharType="separate"/>
          </w:r>
          <w:r>
            <w:rPr>
              <w:rStyle w:val="15"/>
              <w:rFonts w:hint="eastAsia" w:ascii="仿宋_GB2312" w:hAnsi="仿宋" w:eastAsia="仿宋_GB2312"/>
              <w:sz w:val="30"/>
              <w:szCs w:val="30"/>
            </w:rPr>
            <w:t>二、机构设置</w:t>
          </w:r>
          <w:r>
            <w:rPr>
              <w:rFonts w:hint="eastAsia" w:ascii="仿宋_GB2312" w:hAnsi="仿宋" w:eastAsia="仿宋_GB2312"/>
              <w:sz w:val="30"/>
              <w:szCs w:val="30"/>
            </w:rPr>
            <w:tab/>
          </w:r>
          <w:r>
            <w:rPr>
              <w:rFonts w:hint="eastAsia" w:ascii="仿宋_GB2312" w:hAnsi="仿宋" w:eastAsia="仿宋_GB2312"/>
              <w:sz w:val="30"/>
              <w:szCs w:val="30"/>
            </w:rPr>
            <w:fldChar w:fldCharType="begin"/>
          </w:r>
          <w:r>
            <w:rPr>
              <w:rFonts w:hint="eastAsia" w:ascii="仿宋_GB2312" w:hAnsi="仿宋" w:eastAsia="仿宋_GB2312"/>
              <w:sz w:val="30"/>
              <w:szCs w:val="30"/>
            </w:rPr>
            <w:instrText xml:space="preserve"> PAGEREF _Toc144135692 \h </w:instrText>
          </w:r>
          <w:r>
            <w:rPr>
              <w:rFonts w:hint="eastAsia" w:ascii="仿宋_GB2312" w:hAnsi="仿宋" w:eastAsia="仿宋_GB2312"/>
              <w:sz w:val="30"/>
              <w:szCs w:val="30"/>
            </w:rPr>
            <w:fldChar w:fldCharType="separate"/>
          </w:r>
          <w:r>
            <w:rPr>
              <w:rFonts w:hint="eastAsia" w:ascii="仿宋_GB2312" w:hAnsi="仿宋" w:eastAsia="仿宋_GB2312"/>
              <w:sz w:val="30"/>
              <w:szCs w:val="30"/>
            </w:rPr>
            <w:t>2</w:t>
          </w:r>
          <w:r>
            <w:rPr>
              <w:rFonts w:hint="eastAsia" w:ascii="仿宋_GB2312" w:hAnsi="仿宋" w:eastAsia="仿宋_GB2312"/>
              <w:sz w:val="30"/>
              <w:szCs w:val="30"/>
            </w:rPr>
            <w:fldChar w:fldCharType="end"/>
          </w:r>
          <w:r>
            <w:rPr>
              <w:rFonts w:hint="eastAsia" w:ascii="仿宋_GB2312" w:hAnsi="仿宋" w:eastAsia="仿宋_GB2312"/>
              <w:sz w:val="30"/>
              <w:szCs w:val="30"/>
            </w:rPr>
            <w:fldChar w:fldCharType="end"/>
          </w:r>
        </w:p>
        <w:p>
          <w:pPr>
            <w:pStyle w:val="10"/>
            <w:rPr>
              <w:rFonts w:ascii="仿宋_GB2312" w:eastAsia="仿宋_GB2312" w:cstheme="minorBidi"/>
              <w:sz w:val="30"/>
              <w:szCs w:val="30"/>
            </w:rPr>
          </w:pPr>
          <w:r>
            <w:fldChar w:fldCharType="begin"/>
          </w:r>
          <w:r>
            <w:instrText xml:space="preserve"> HYPERLINK \l "_Toc144135693" </w:instrText>
          </w:r>
          <w:r>
            <w:fldChar w:fldCharType="separate"/>
          </w:r>
          <w:r>
            <w:rPr>
              <w:rStyle w:val="15"/>
              <w:rFonts w:hint="eastAsia" w:ascii="仿宋_GB2312" w:eastAsia="仿宋_GB2312"/>
              <w:sz w:val="30"/>
              <w:szCs w:val="30"/>
            </w:rPr>
            <w:t>第二部分 2022年度单位决算情况说明</w:t>
          </w:r>
          <w:r>
            <w:rPr>
              <w:rFonts w:hint="eastAsia" w:ascii="仿宋_GB2312" w:eastAsia="仿宋_GB2312"/>
              <w:sz w:val="30"/>
              <w:szCs w:val="30"/>
            </w:rPr>
            <w:tab/>
          </w:r>
          <w:r>
            <w:rPr>
              <w:rFonts w:hint="eastAsia" w:ascii="仿宋_GB2312" w:eastAsia="仿宋_GB2312"/>
              <w:sz w:val="30"/>
              <w:szCs w:val="30"/>
            </w:rPr>
            <w:fldChar w:fldCharType="begin"/>
          </w:r>
          <w:r>
            <w:rPr>
              <w:rFonts w:hint="eastAsia" w:ascii="仿宋_GB2312" w:eastAsia="仿宋_GB2312"/>
              <w:sz w:val="30"/>
              <w:szCs w:val="30"/>
            </w:rPr>
            <w:instrText xml:space="preserve"> PAGEREF _Toc144135693 \h </w:instrText>
          </w:r>
          <w:r>
            <w:rPr>
              <w:rFonts w:hint="eastAsia" w:ascii="仿宋_GB2312" w:eastAsia="仿宋_GB2312"/>
              <w:sz w:val="30"/>
              <w:szCs w:val="30"/>
            </w:rPr>
            <w:fldChar w:fldCharType="separate"/>
          </w:r>
          <w:r>
            <w:rPr>
              <w:rFonts w:hint="eastAsia" w:ascii="仿宋_GB2312" w:eastAsia="仿宋_GB2312"/>
              <w:sz w:val="30"/>
              <w:szCs w:val="30"/>
            </w:rPr>
            <w:t>3</w:t>
          </w:r>
          <w:r>
            <w:rPr>
              <w:rFonts w:hint="eastAsia" w:ascii="仿宋_GB2312" w:eastAsia="仿宋_GB2312"/>
              <w:sz w:val="30"/>
              <w:szCs w:val="30"/>
            </w:rPr>
            <w:fldChar w:fldCharType="end"/>
          </w:r>
          <w:r>
            <w:rPr>
              <w:rFonts w:hint="eastAsia" w:ascii="仿宋_GB2312" w:eastAsia="仿宋_GB2312"/>
              <w:sz w:val="30"/>
              <w:szCs w:val="30"/>
            </w:rPr>
            <w:fldChar w:fldCharType="end"/>
          </w:r>
        </w:p>
        <w:p>
          <w:pPr>
            <w:pStyle w:val="11"/>
            <w:tabs>
              <w:tab w:val="left" w:pos="1050"/>
            </w:tabs>
            <w:rPr>
              <w:rFonts w:ascii="仿宋_GB2312" w:hAnsi="仿宋" w:eastAsia="仿宋_GB2312" w:cstheme="minorBidi"/>
              <w:sz w:val="30"/>
              <w:szCs w:val="30"/>
            </w:rPr>
          </w:pPr>
          <w:r>
            <w:fldChar w:fldCharType="begin"/>
          </w:r>
          <w:r>
            <w:instrText xml:space="preserve"> HYPERLINK \l "_Toc144135694" </w:instrText>
          </w:r>
          <w:r>
            <w:fldChar w:fldCharType="separate"/>
          </w:r>
          <w:r>
            <w:rPr>
              <w:rStyle w:val="15"/>
              <w:rFonts w:hint="eastAsia" w:ascii="仿宋_GB2312" w:hAnsi="仿宋" w:eastAsia="仿宋_GB2312" w:cstheme="majorBidi"/>
              <w:bCs/>
              <w:sz w:val="30"/>
              <w:szCs w:val="30"/>
            </w:rPr>
            <w:t>一、</w:t>
          </w:r>
          <w:r>
            <w:rPr>
              <w:rFonts w:hint="eastAsia" w:ascii="仿宋_GB2312" w:hAnsi="仿宋" w:eastAsia="仿宋_GB2312" w:cstheme="minorBidi"/>
              <w:sz w:val="30"/>
              <w:szCs w:val="30"/>
            </w:rPr>
            <w:tab/>
          </w:r>
          <w:r>
            <w:rPr>
              <w:rStyle w:val="15"/>
              <w:rFonts w:hint="eastAsia" w:ascii="仿宋_GB2312" w:hAnsi="仿宋" w:eastAsia="仿宋_GB2312"/>
              <w:sz w:val="30"/>
              <w:szCs w:val="30"/>
            </w:rPr>
            <w:t>收</w:t>
          </w:r>
          <w:r>
            <w:rPr>
              <w:rStyle w:val="15"/>
              <w:rFonts w:hint="eastAsia" w:ascii="仿宋_GB2312" w:hAnsi="仿宋" w:eastAsia="仿宋_GB2312" w:cstheme="majorBidi"/>
              <w:bCs/>
              <w:sz w:val="30"/>
              <w:szCs w:val="30"/>
            </w:rPr>
            <w:t>入支出决算总体情况说明</w:t>
          </w:r>
          <w:r>
            <w:rPr>
              <w:rFonts w:hint="eastAsia" w:ascii="仿宋_GB2312" w:hAnsi="仿宋" w:eastAsia="仿宋_GB2312"/>
              <w:sz w:val="30"/>
              <w:szCs w:val="30"/>
            </w:rPr>
            <w:tab/>
          </w:r>
          <w:r>
            <w:rPr>
              <w:rFonts w:hint="eastAsia" w:ascii="仿宋_GB2312" w:hAnsi="仿宋" w:eastAsia="仿宋_GB2312"/>
              <w:sz w:val="30"/>
              <w:szCs w:val="30"/>
            </w:rPr>
            <w:fldChar w:fldCharType="begin"/>
          </w:r>
          <w:r>
            <w:rPr>
              <w:rFonts w:hint="eastAsia" w:ascii="仿宋_GB2312" w:hAnsi="仿宋" w:eastAsia="仿宋_GB2312"/>
              <w:sz w:val="30"/>
              <w:szCs w:val="30"/>
            </w:rPr>
            <w:instrText xml:space="preserve"> PAGEREF _Toc144135694 \h </w:instrText>
          </w:r>
          <w:r>
            <w:rPr>
              <w:rFonts w:hint="eastAsia" w:ascii="仿宋_GB2312" w:hAnsi="仿宋" w:eastAsia="仿宋_GB2312"/>
              <w:sz w:val="30"/>
              <w:szCs w:val="30"/>
            </w:rPr>
            <w:fldChar w:fldCharType="separate"/>
          </w:r>
          <w:r>
            <w:rPr>
              <w:rFonts w:hint="eastAsia" w:ascii="仿宋_GB2312" w:hAnsi="仿宋" w:eastAsia="仿宋_GB2312"/>
              <w:sz w:val="30"/>
              <w:szCs w:val="30"/>
            </w:rPr>
            <w:t>3</w:t>
          </w:r>
          <w:r>
            <w:rPr>
              <w:rFonts w:hint="eastAsia" w:ascii="仿宋_GB2312" w:hAnsi="仿宋" w:eastAsia="仿宋_GB2312"/>
              <w:sz w:val="30"/>
              <w:szCs w:val="30"/>
            </w:rPr>
            <w:fldChar w:fldCharType="end"/>
          </w:r>
          <w:r>
            <w:rPr>
              <w:rFonts w:hint="eastAsia" w:ascii="仿宋_GB2312" w:hAnsi="仿宋" w:eastAsia="仿宋_GB2312"/>
              <w:sz w:val="30"/>
              <w:szCs w:val="30"/>
            </w:rPr>
            <w:fldChar w:fldCharType="end"/>
          </w:r>
        </w:p>
        <w:p>
          <w:pPr>
            <w:pStyle w:val="11"/>
            <w:tabs>
              <w:tab w:val="left" w:pos="1050"/>
            </w:tabs>
            <w:rPr>
              <w:rFonts w:ascii="仿宋_GB2312" w:hAnsi="仿宋" w:eastAsia="仿宋_GB2312" w:cstheme="minorBidi"/>
              <w:sz w:val="30"/>
              <w:szCs w:val="30"/>
            </w:rPr>
          </w:pPr>
          <w:r>
            <w:fldChar w:fldCharType="begin"/>
          </w:r>
          <w:r>
            <w:instrText xml:space="preserve"> HYPERLINK \l "_Toc144135695" </w:instrText>
          </w:r>
          <w:r>
            <w:fldChar w:fldCharType="separate"/>
          </w:r>
          <w:r>
            <w:rPr>
              <w:rStyle w:val="15"/>
              <w:rFonts w:hint="eastAsia" w:ascii="仿宋_GB2312" w:hAnsi="仿宋" w:eastAsia="仿宋_GB2312" w:cstheme="majorBidi"/>
              <w:bCs/>
              <w:sz w:val="30"/>
              <w:szCs w:val="30"/>
            </w:rPr>
            <w:t>二、</w:t>
          </w:r>
          <w:r>
            <w:rPr>
              <w:rFonts w:hint="eastAsia" w:ascii="仿宋_GB2312" w:hAnsi="仿宋" w:eastAsia="仿宋_GB2312" w:cstheme="minorBidi"/>
              <w:sz w:val="30"/>
              <w:szCs w:val="30"/>
            </w:rPr>
            <w:tab/>
          </w:r>
          <w:r>
            <w:rPr>
              <w:rStyle w:val="15"/>
              <w:rFonts w:hint="eastAsia" w:ascii="仿宋_GB2312" w:hAnsi="仿宋" w:eastAsia="仿宋_GB2312"/>
              <w:sz w:val="30"/>
              <w:szCs w:val="30"/>
            </w:rPr>
            <w:t>收</w:t>
          </w:r>
          <w:r>
            <w:rPr>
              <w:rStyle w:val="15"/>
              <w:rFonts w:hint="eastAsia" w:ascii="仿宋_GB2312" w:hAnsi="仿宋" w:eastAsia="仿宋_GB2312" w:cstheme="majorBidi"/>
              <w:bCs/>
              <w:sz w:val="30"/>
              <w:szCs w:val="30"/>
            </w:rPr>
            <w:t>入决算情况说明</w:t>
          </w:r>
          <w:r>
            <w:rPr>
              <w:rFonts w:hint="eastAsia" w:ascii="仿宋_GB2312" w:hAnsi="仿宋" w:eastAsia="仿宋_GB2312"/>
              <w:sz w:val="30"/>
              <w:szCs w:val="30"/>
            </w:rPr>
            <w:tab/>
          </w:r>
          <w:r>
            <w:rPr>
              <w:rFonts w:hint="eastAsia" w:ascii="仿宋_GB2312" w:hAnsi="仿宋" w:eastAsia="仿宋_GB2312"/>
              <w:sz w:val="30"/>
              <w:szCs w:val="30"/>
            </w:rPr>
            <w:fldChar w:fldCharType="begin"/>
          </w:r>
          <w:r>
            <w:rPr>
              <w:rFonts w:hint="eastAsia" w:ascii="仿宋_GB2312" w:hAnsi="仿宋" w:eastAsia="仿宋_GB2312"/>
              <w:sz w:val="30"/>
              <w:szCs w:val="30"/>
            </w:rPr>
            <w:instrText xml:space="preserve"> PAGEREF _Toc144135695 \h </w:instrText>
          </w:r>
          <w:r>
            <w:rPr>
              <w:rFonts w:hint="eastAsia" w:ascii="仿宋_GB2312" w:hAnsi="仿宋" w:eastAsia="仿宋_GB2312"/>
              <w:sz w:val="30"/>
              <w:szCs w:val="30"/>
            </w:rPr>
            <w:fldChar w:fldCharType="separate"/>
          </w:r>
          <w:r>
            <w:rPr>
              <w:rFonts w:hint="eastAsia" w:ascii="仿宋_GB2312" w:hAnsi="仿宋" w:eastAsia="仿宋_GB2312"/>
              <w:sz w:val="30"/>
              <w:szCs w:val="30"/>
            </w:rPr>
            <w:t>3</w:t>
          </w:r>
          <w:r>
            <w:rPr>
              <w:rFonts w:hint="eastAsia" w:ascii="仿宋_GB2312" w:hAnsi="仿宋" w:eastAsia="仿宋_GB2312"/>
              <w:sz w:val="30"/>
              <w:szCs w:val="30"/>
            </w:rPr>
            <w:fldChar w:fldCharType="end"/>
          </w:r>
          <w:r>
            <w:rPr>
              <w:rFonts w:hint="eastAsia" w:ascii="仿宋_GB2312" w:hAnsi="仿宋" w:eastAsia="仿宋_GB2312"/>
              <w:sz w:val="30"/>
              <w:szCs w:val="30"/>
            </w:rPr>
            <w:fldChar w:fldCharType="end"/>
          </w:r>
        </w:p>
        <w:p>
          <w:pPr>
            <w:pStyle w:val="11"/>
            <w:tabs>
              <w:tab w:val="left" w:pos="1050"/>
            </w:tabs>
            <w:rPr>
              <w:rFonts w:ascii="仿宋_GB2312" w:hAnsi="仿宋" w:eastAsia="仿宋_GB2312" w:cstheme="minorBidi"/>
              <w:sz w:val="30"/>
              <w:szCs w:val="30"/>
            </w:rPr>
          </w:pPr>
          <w:r>
            <w:fldChar w:fldCharType="begin"/>
          </w:r>
          <w:r>
            <w:instrText xml:space="preserve"> HYPERLINK \l "_Toc144135697" </w:instrText>
          </w:r>
          <w:r>
            <w:fldChar w:fldCharType="separate"/>
          </w:r>
          <w:r>
            <w:rPr>
              <w:rStyle w:val="15"/>
              <w:rFonts w:hint="eastAsia" w:ascii="仿宋_GB2312" w:hAnsi="仿宋" w:eastAsia="仿宋_GB2312" w:cstheme="majorBidi"/>
              <w:bCs/>
              <w:sz w:val="30"/>
              <w:szCs w:val="30"/>
            </w:rPr>
            <w:t>三、</w:t>
          </w:r>
          <w:r>
            <w:rPr>
              <w:rFonts w:hint="eastAsia" w:ascii="仿宋_GB2312" w:hAnsi="仿宋" w:eastAsia="仿宋_GB2312" w:cstheme="minorBidi"/>
              <w:sz w:val="30"/>
              <w:szCs w:val="30"/>
            </w:rPr>
            <w:tab/>
          </w:r>
          <w:r>
            <w:rPr>
              <w:rStyle w:val="15"/>
              <w:rFonts w:hint="eastAsia" w:ascii="仿宋_GB2312" w:hAnsi="仿宋" w:eastAsia="仿宋_GB2312"/>
              <w:sz w:val="30"/>
              <w:szCs w:val="30"/>
            </w:rPr>
            <w:t>支</w:t>
          </w:r>
          <w:r>
            <w:rPr>
              <w:rStyle w:val="15"/>
              <w:rFonts w:hint="eastAsia" w:ascii="仿宋_GB2312" w:hAnsi="仿宋" w:eastAsia="仿宋_GB2312" w:cstheme="majorBidi"/>
              <w:bCs/>
              <w:sz w:val="30"/>
              <w:szCs w:val="30"/>
            </w:rPr>
            <w:t>出决算情况说明</w:t>
          </w:r>
          <w:r>
            <w:rPr>
              <w:rFonts w:hint="eastAsia" w:ascii="仿宋_GB2312" w:hAnsi="仿宋" w:eastAsia="仿宋_GB2312"/>
              <w:sz w:val="30"/>
              <w:szCs w:val="30"/>
            </w:rPr>
            <w:tab/>
          </w:r>
          <w:r>
            <w:rPr>
              <w:rFonts w:hint="eastAsia" w:ascii="仿宋_GB2312" w:hAnsi="仿宋" w:eastAsia="仿宋_GB2312"/>
              <w:sz w:val="30"/>
              <w:szCs w:val="30"/>
            </w:rPr>
            <w:fldChar w:fldCharType="begin"/>
          </w:r>
          <w:r>
            <w:rPr>
              <w:rFonts w:hint="eastAsia" w:ascii="仿宋_GB2312" w:hAnsi="仿宋" w:eastAsia="仿宋_GB2312"/>
              <w:sz w:val="30"/>
              <w:szCs w:val="30"/>
            </w:rPr>
            <w:instrText xml:space="preserve"> PAGEREF _Toc144135697 \h </w:instrText>
          </w:r>
          <w:r>
            <w:rPr>
              <w:rFonts w:hint="eastAsia" w:ascii="仿宋_GB2312" w:hAnsi="仿宋" w:eastAsia="仿宋_GB2312"/>
              <w:sz w:val="30"/>
              <w:szCs w:val="30"/>
            </w:rPr>
            <w:fldChar w:fldCharType="separate"/>
          </w:r>
          <w:r>
            <w:rPr>
              <w:rFonts w:hint="eastAsia" w:ascii="仿宋_GB2312" w:hAnsi="仿宋" w:eastAsia="仿宋_GB2312"/>
              <w:sz w:val="30"/>
              <w:szCs w:val="30"/>
            </w:rPr>
            <w:t>4</w:t>
          </w:r>
          <w:r>
            <w:rPr>
              <w:rFonts w:hint="eastAsia" w:ascii="仿宋_GB2312" w:hAnsi="仿宋" w:eastAsia="仿宋_GB2312"/>
              <w:sz w:val="30"/>
              <w:szCs w:val="30"/>
            </w:rPr>
            <w:fldChar w:fldCharType="end"/>
          </w:r>
          <w:r>
            <w:rPr>
              <w:rFonts w:hint="eastAsia" w:ascii="仿宋_GB2312" w:hAnsi="仿宋" w:eastAsia="仿宋_GB2312"/>
              <w:sz w:val="30"/>
              <w:szCs w:val="30"/>
            </w:rPr>
            <w:fldChar w:fldCharType="end"/>
          </w:r>
        </w:p>
        <w:p>
          <w:pPr>
            <w:pStyle w:val="11"/>
            <w:rPr>
              <w:rFonts w:ascii="仿宋_GB2312" w:hAnsi="仿宋" w:eastAsia="仿宋_GB2312" w:cstheme="minorBidi"/>
              <w:sz w:val="30"/>
              <w:szCs w:val="30"/>
            </w:rPr>
          </w:pPr>
          <w:r>
            <w:fldChar w:fldCharType="begin"/>
          </w:r>
          <w:r>
            <w:instrText xml:space="preserve"> HYPERLINK \l "_Toc144135699" </w:instrText>
          </w:r>
          <w:r>
            <w:fldChar w:fldCharType="separate"/>
          </w:r>
          <w:r>
            <w:rPr>
              <w:rStyle w:val="15"/>
              <w:rFonts w:hint="eastAsia" w:ascii="仿宋_GB2312" w:hAnsi="仿宋" w:eastAsia="仿宋_GB2312"/>
              <w:sz w:val="30"/>
              <w:szCs w:val="30"/>
            </w:rPr>
            <w:t>四、财</w:t>
          </w:r>
          <w:r>
            <w:rPr>
              <w:rStyle w:val="15"/>
              <w:rFonts w:hint="eastAsia" w:ascii="仿宋_GB2312" w:hAnsi="仿宋" w:eastAsia="仿宋_GB2312" w:cstheme="majorBidi"/>
              <w:bCs/>
              <w:sz w:val="30"/>
              <w:szCs w:val="30"/>
            </w:rPr>
            <w:t>政拨款收入支出决算总体情况说明</w:t>
          </w:r>
          <w:r>
            <w:rPr>
              <w:rFonts w:hint="eastAsia" w:ascii="仿宋_GB2312" w:hAnsi="仿宋" w:eastAsia="仿宋_GB2312"/>
              <w:sz w:val="30"/>
              <w:szCs w:val="30"/>
            </w:rPr>
            <w:tab/>
          </w:r>
          <w:r>
            <w:rPr>
              <w:rFonts w:hint="eastAsia" w:ascii="仿宋_GB2312" w:hAnsi="仿宋" w:eastAsia="仿宋_GB2312"/>
              <w:sz w:val="30"/>
              <w:szCs w:val="30"/>
            </w:rPr>
            <w:fldChar w:fldCharType="begin"/>
          </w:r>
          <w:r>
            <w:rPr>
              <w:rFonts w:hint="eastAsia" w:ascii="仿宋_GB2312" w:hAnsi="仿宋" w:eastAsia="仿宋_GB2312"/>
              <w:sz w:val="30"/>
              <w:szCs w:val="30"/>
            </w:rPr>
            <w:instrText xml:space="preserve"> PAGEREF _Toc144135699 \h </w:instrText>
          </w:r>
          <w:r>
            <w:rPr>
              <w:rFonts w:hint="eastAsia" w:ascii="仿宋_GB2312" w:hAnsi="仿宋" w:eastAsia="仿宋_GB2312"/>
              <w:sz w:val="30"/>
              <w:szCs w:val="30"/>
            </w:rPr>
            <w:fldChar w:fldCharType="separate"/>
          </w:r>
          <w:r>
            <w:rPr>
              <w:rFonts w:hint="eastAsia" w:ascii="仿宋_GB2312" w:hAnsi="仿宋" w:eastAsia="仿宋_GB2312"/>
              <w:sz w:val="30"/>
              <w:szCs w:val="30"/>
            </w:rPr>
            <w:t>4</w:t>
          </w:r>
          <w:r>
            <w:rPr>
              <w:rFonts w:hint="eastAsia" w:ascii="仿宋_GB2312" w:hAnsi="仿宋" w:eastAsia="仿宋_GB2312"/>
              <w:sz w:val="30"/>
              <w:szCs w:val="30"/>
            </w:rPr>
            <w:fldChar w:fldCharType="end"/>
          </w:r>
          <w:r>
            <w:rPr>
              <w:rFonts w:hint="eastAsia" w:ascii="仿宋_GB2312" w:hAnsi="仿宋" w:eastAsia="仿宋_GB2312"/>
              <w:sz w:val="30"/>
              <w:szCs w:val="30"/>
            </w:rPr>
            <w:fldChar w:fldCharType="end"/>
          </w:r>
        </w:p>
        <w:p>
          <w:pPr>
            <w:pStyle w:val="11"/>
            <w:rPr>
              <w:rFonts w:ascii="仿宋_GB2312" w:hAnsi="仿宋" w:eastAsia="仿宋_GB2312" w:cstheme="minorBidi"/>
              <w:sz w:val="30"/>
              <w:szCs w:val="30"/>
            </w:rPr>
          </w:pPr>
          <w:r>
            <w:fldChar w:fldCharType="begin"/>
          </w:r>
          <w:r>
            <w:instrText xml:space="preserve"> HYPERLINK \l "_Toc144135700" </w:instrText>
          </w:r>
          <w:r>
            <w:fldChar w:fldCharType="separate"/>
          </w:r>
          <w:r>
            <w:rPr>
              <w:rStyle w:val="15"/>
              <w:rFonts w:hint="eastAsia" w:ascii="仿宋_GB2312" w:hAnsi="仿宋" w:eastAsia="仿宋_GB2312"/>
              <w:sz w:val="30"/>
              <w:szCs w:val="30"/>
            </w:rPr>
            <w:t>五、</w:t>
          </w:r>
          <w:r>
            <w:rPr>
              <w:rStyle w:val="15"/>
              <w:rFonts w:hint="eastAsia" w:ascii="仿宋_GB2312" w:hAnsi="仿宋" w:eastAsia="仿宋_GB2312"/>
              <w:b/>
              <w:sz w:val="30"/>
              <w:szCs w:val="30"/>
            </w:rPr>
            <w:t>一</w:t>
          </w:r>
          <w:r>
            <w:rPr>
              <w:rStyle w:val="15"/>
              <w:rFonts w:hint="eastAsia" w:ascii="仿宋_GB2312" w:hAnsi="仿宋" w:eastAsia="仿宋_GB2312" w:cstheme="majorBidi"/>
              <w:bCs/>
              <w:sz w:val="30"/>
              <w:szCs w:val="30"/>
            </w:rPr>
            <w:t>般公共预算财政拨款支出决算情况说明</w:t>
          </w:r>
          <w:r>
            <w:rPr>
              <w:rFonts w:hint="eastAsia" w:ascii="仿宋_GB2312" w:hAnsi="仿宋" w:eastAsia="仿宋_GB2312"/>
              <w:sz w:val="30"/>
              <w:szCs w:val="30"/>
            </w:rPr>
            <w:tab/>
          </w:r>
          <w:r>
            <w:rPr>
              <w:rFonts w:hint="eastAsia" w:ascii="仿宋_GB2312" w:hAnsi="仿宋" w:eastAsia="仿宋_GB2312"/>
              <w:sz w:val="30"/>
              <w:szCs w:val="30"/>
            </w:rPr>
            <w:fldChar w:fldCharType="begin"/>
          </w:r>
          <w:r>
            <w:rPr>
              <w:rFonts w:hint="eastAsia" w:ascii="仿宋_GB2312" w:hAnsi="仿宋" w:eastAsia="仿宋_GB2312"/>
              <w:sz w:val="30"/>
              <w:szCs w:val="30"/>
            </w:rPr>
            <w:instrText xml:space="preserve"> PAGEREF _Toc144135700 \h </w:instrText>
          </w:r>
          <w:r>
            <w:rPr>
              <w:rFonts w:hint="eastAsia" w:ascii="仿宋_GB2312" w:hAnsi="仿宋" w:eastAsia="仿宋_GB2312"/>
              <w:sz w:val="30"/>
              <w:szCs w:val="30"/>
            </w:rPr>
            <w:fldChar w:fldCharType="separate"/>
          </w:r>
          <w:r>
            <w:rPr>
              <w:rFonts w:hint="eastAsia" w:ascii="仿宋_GB2312" w:hAnsi="仿宋" w:eastAsia="仿宋_GB2312"/>
              <w:sz w:val="30"/>
              <w:szCs w:val="30"/>
            </w:rPr>
            <w:t>5</w:t>
          </w:r>
          <w:r>
            <w:rPr>
              <w:rFonts w:hint="eastAsia" w:ascii="仿宋_GB2312" w:hAnsi="仿宋" w:eastAsia="仿宋_GB2312"/>
              <w:sz w:val="30"/>
              <w:szCs w:val="30"/>
            </w:rPr>
            <w:fldChar w:fldCharType="end"/>
          </w:r>
          <w:r>
            <w:rPr>
              <w:rFonts w:hint="eastAsia" w:ascii="仿宋_GB2312" w:hAnsi="仿宋" w:eastAsia="仿宋_GB2312"/>
              <w:sz w:val="30"/>
              <w:szCs w:val="30"/>
            </w:rPr>
            <w:fldChar w:fldCharType="end"/>
          </w:r>
        </w:p>
        <w:p>
          <w:pPr>
            <w:pStyle w:val="11"/>
            <w:rPr>
              <w:rFonts w:ascii="仿宋_GB2312" w:hAnsi="仿宋" w:eastAsia="仿宋_GB2312" w:cstheme="minorBidi"/>
              <w:sz w:val="30"/>
              <w:szCs w:val="30"/>
            </w:rPr>
          </w:pPr>
          <w:r>
            <w:fldChar w:fldCharType="begin"/>
          </w:r>
          <w:r>
            <w:instrText xml:space="preserve"> HYPERLINK \l "_Toc144135705" </w:instrText>
          </w:r>
          <w:r>
            <w:fldChar w:fldCharType="separate"/>
          </w:r>
          <w:r>
            <w:rPr>
              <w:rStyle w:val="15"/>
              <w:rFonts w:hint="eastAsia" w:ascii="仿宋_GB2312" w:hAnsi="仿宋" w:eastAsia="仿宋_GB2312"/>
              <w:sz w:val="30"/>
              <w:szCs w:val="30"/>
            </w:rPr>
            <w:t>六</w:t>
          </w:r>
          <w:r>
            <w:rPr>
              <w:rStyle w:val="15"/>
              <w:rFonts w:hint="eastAsia" w:ascii="仿宋_GB2312" w:hAnsi="仿宋" w:eastAsia="仿宋_GB2312"/>
              <w:b/>
              <w:sz w:val="30"/>
              <w:szCs w:val="30"/>
            </w:rPr>
            <w:t>、一</w:t>
          </w:r>
          <w:r>
            <w:rPr>
              <w:rStyle w:val="15"/>
              <w:rFonts w:hint="eastAsia" w:ascii="仿宋_GB2312" w:hAnsi="仿宋" w:eastAsia="仿宋_GB2312" w:cstheme="majorBidi"/>
              <w:bCs/>
              <w:sz w:val="30"/>
              <w:szCs w:val="30"/>
            </w:rPr>
            <w:t>般公共预算财政拨款基本支出决算情况说明</w:t>
          </w:r>
          <w:r>
            <w:rPr>
              <w:rFonts w:hint="eastAsia" w:ascii="仿宋_GB2312" w:hAnsi="仿宋" w:eastAsia="仿宋_GB2312"/>
              <w:sz w:val="30"/>
              <w:szCs w:val="30"/>
            </w:rPr>
            <w:tab/>
          </w:r>
          <w:r>
            <w:rPr>
              <w:rFonts w:hint="eastAsia" w:ascii="仿宋_GB2312" w:hAnsi="仿宋" w:eastAsia="仿宋_GB2312"/>
              <w:sz w:val="30"/>
              <w:szCs w:val="30"/>
            </w:rPr>
            <w:fldChar w:fldCharType="begin"/>
          </w:r>
          <w:r>
            <w:rPr>
              <w:rFonts w:hint="eastAsia" w:ascii="仿宋_GB2312" w:hAnsi="仿宋" w:eastAsia="仿宋_GB2312"/>
              <w:sz w:val="30"/>
              <w:szCs w:val="30"/>
            </w:rPr>
            <w:instrText xml:space="preserve"> PAGEREF _Toc144135705 \h </w:instrText>
          </w:r>
          <w:r>
            <w:rPr>
              <w:rFonts w:hint="eastAsia" w:ascii="仿宋_GB2312" w:hAnsi="仿宋" w:eastAsia="仿宋_GB2312"/>
              <w:sz w:val="30"/>
              <w:szCs w:val="30"/>
            </w:rPr>
            <w:fldChar w:fldCharType="separate"/>
          </w:r>
          <w:r>
            <w:rPr>
              <w:rFonts w:hint="eastAsia" w:ascii="仿宋_GB2312" w:hAnsi="仿宋" w:eastAsia="仿宋_GB2312"/>
              <w:sz w:val="30"/>
              <w:szCs w:val="30"/>
            </w:rPr>
            <w:t>7</w:t>
          </w:r>
          <w:r>
            <w:rPr>
              <w:rFonts w:hint="eastAsia" w:ascii="仿宋_GB2312" w:hAnsi="仿宋" w:eastAsia="仿宋_GB2312"/>
              <w:sz w:val="30"/>
              <w:szCs w:val="30"/>
            </w:rPr>
            <w:fldChar w:fldCharType="end"/>
          </w:r>
          <w:r>
            <w:rPr>
              <w:rFonts w:hint="eastAsia" w:ascii="仿宋_GB2312" w:hAnsi="仿宋" w:eastAsia="仿宋_GB2312"/>
              <w:sz w:val="30"/>
              <w:szCs w:val="30"/>
            </w:rPr>
            <w:fldChar w:fldCharType="end"/>
          </w:r>
        </w:p>
        <w:p>
          <w:pPr>
            <w:pStyle w:val="11"/>
            <w:rPr>
              <w:rFonts w:ascii="仿宋_GB2312" w:hAnsi="仿宋" w:eastAsia="仿宋_GB2312" w:cstheme="minorBidi"/>
              <w:sz w:val="30"/>
              <w:szCs w:val="30"/>
            </w:rPr>
          </w:pPr>
          <w:r>
            <w:fldChar w:fldCharType="begin"/>
          </w:r>
          <w:r>
            <w:instrText xml:space="preserve"> HYPERLINK \l "_Toc144135706" </w:instrText>
          </w:r>
          <w:r>
            <w:fldChar w:fldCharType="separate"/>
          </w:r>
          <w:r>
            <w:rPr>
              <w:rStyle w:val="15"/>
              <w:rFonts w:hint="eastAsia" w:ascii="仿宋_GB2312" w:hAnsi="仿宋" w:eastAsia="仿宋_GB2312"/>
              <w:sz w:val="30"/>
              <w:szCs w:val="30"/>
            </w:rPr>
            <w:t>七、</w:t>
          </w:r>
          <w:r>
            <w:rPr>
              <w:rStyle w:val="15"/>
              <w:rFonts w:hint="eastAsia" w:ascii="仿宋_GB2312" w:hAnsi="仿宋" w:eastAsia="仿宋_GB2312" w:cstheme="majorBidi"/>
              <w:bCs/>
              <w:sz w:val="30"/>
              <w:szCs w:val="30"/>
            </w:rPr>
            <w:t>财政拨款</w:t>
          </w:r>
          <w:r>
            <w:rPr>
              <w:rStyle w:val="15"/>
              <w:rFonts w:hint="eastAsia" w:ascii="仿宋_GB2312" w:hAnsi="仿宋" w:eastAsia="仿宋_GB2312" w:cstheme="majorBidi"/>
              <w:b/>
              <w:bCs/>
              <w:sz w:val="30"/>
              <w:szCs w:val="30"/>
            </w:rPr>
            <w:t>“</w:t>
          </w:r>
          <w:r>
            <w:rPr>
              <w:rStyle w:val="15"/>
              <w:rFonts w:hint="eastAsia" w:ascii="仿宋_GB2312" w:hAnsi="仿宋" w:eastAsia="仿宋_GB2312" w:cstheme="majorBidi"/>
              <w:bCs/>
              <w:sz w:val="30"/>
              <w:szCs w:val="30"/>
            </w:rPr>
            <w:t>三公”经费支出决算情况说明</w:t>
          </w:r>
          <w:r>
            <w:rPr>
              <w:rFonts w:hint="eastAsia" w:ascii="仿宋_GB2312" w:hAnsi="仿宋" w:eastAsia="仿宋_GB2312"/>
              <w:sz w:val="30"/>
              <w:szCs w:val="30"/>
            </w:rPr>
            <w:tab/>
          </w:r>
          <w:r>
            <w:rPr>
              <w:rFonts w:hint="eastAsia" w:ascii="仿宋_GB2312" w:hAnsi="仿宋" w:eastAsia="仿宋_GB2312"/>
              <w:sz w:val="30"/>
              <w:szCs w:val="30"/>
            </w:rPr>
            <w:fldChar w:fldCharType="begin"/>
          </w:r>
          <w:r>
            <w:rPr>
              <w:rFonts w:hint="eastAsia" w:ascii="仿宋_GB2312" w:hAnsi="仿宋" w:eastAsia="仿宋_GB2312"/>
              <w:sz w:val="30"/>
              <w:szCs w:val="30"/>
            </w:rPr>
            <w:instrText xml:space="preserve"> PAGEREF _Toc144135706 \h </w:instrText>
          </w:r>
          <w:r>
            <w:rPr>
              <w:rFonts w:hint="eastAsia" w:ascii="仿宋_GB2312" w:hAnsi="仿宋" w:eastAsia="仿宋_GB2312"/>
              <w:sz w:val="30"/>
              <w:szCs w:val="30"/>
            </w:rPr>
            <w:fldChar w:fldCharType="separate"/>
          </w:r>
          <w:r>
            <w:rPr>
              <w:rFonts w:hint="eastAsia" w:ascii="仿宋_GB2312" w:hAnsi="仿宋" w:eastAsia="仿宋_GB2312"/>
              <w:sz w:val="30"/>
              <w:szCs w:val="30"/>
            </w:rPr>
            <w:t>8</w:t>
          </w:r>
          <w:r>
            <w:rPr>
              <w:rFonts w:hint="eastAsia" w:ascii="仿宋_GB2312" w:hAnsi="仿宋" w:eastAsia="仿宋_GB2312"/>
              <w:sz w:val="30"/>
              <w:szCs w:val="30"/>
            </w:rPr>
            <w:fldChar w:fldCharType="end"/>
          </w:r>
          <w:r>
            <w:rPr>
              <w:rFonts w:hint="eastAsia" w:ascii="仿宋_GB2312" w:hAnsi="仿宋" w:eastAsia="仿宋_GB2312"/>
              <w:sz w:val="30"/>
              <w:szCs w:val="30"/>
            </w:rPr>
            <w:fldChar w:fldCharType="end"/>
          </w:r>
        </w:p>
        <w:p>
          <w:pPr>
            <w:pStyle w:val="11"/>
            <w:rPr>
              <w:rFonts w:ascii="仿宋_GB2312" w:hAnsi="仿宋" w:eastAsia="仿宋_GB2312" w:cstheme="minorBidi"/>
              <w:sz w:val="30"/>
              <w:szCs w:val="30"/>
            </w:rPr>
          </w:pPr>
          <w:r>
            <w:fldChar w:fldCharType="begin"/>
          </w:r>
          <w:r>
            <w:instrText xml:space="preserve"> HYPERLINK \l "_Toc144135708" </w:instrText>
          </w:r>
          <w:r>
            <w:fldChar w:fldCharType="separate"/>
          </w:r>
          <w:r>
            <w:rPr>
              <w:rStyle w:val="15"/>
              <w:rFonts w:hint="eastAsia" w:ascii="仿宋_GB2312" w:hAnsi="仿宋" w:eastAsia="仿宋_GB2312"/>
              <w:sz w:val="30"/>
              <w:szCs w:val="30"/>
            </w:rPr>
            <w:t>八、</w:t>
          </w:r>
          <w:r>
            <w:rPr>
              <w:rStyle w:val="15"/>
              <w:rFonts w:hint="eastAsia" w:ascii="仿宋_GB2312" w:hAnsi="仿宋" w:eastAsia="仿宋_GB2312" w:cstheme="majorBidi"/>
              <w:bCs/>
              <w:sz w:val="30"/>
              <w:szCs w:val="30"/>
            </w:rPr>
            <w:t>政府性基金预算支出决算情况说明</w:t>
          </w:r>
          <w:r>
            <w:rPr>
              <w:rFonts w:hint="eastAsia" w:ascii="仿宋_GB2312" w:hAnsi="仿宋" w:eastAsia="仿宋_GB2312"/>
              <w:sz w:val="30"/>
              <w:szCs w:val="30"/>
            </w:rPr>
            <w:tab/>
          </w:r>
          <w:r>
            <w:rPr>
              <w:rFonts w:hint="eastAsia" w:ascii="仿宋_GB2312" w:hAnsi="仿宋" w:eastAsia="仿宋_GB2312"/>
              <w:sz w:val="30"/>
              <w:szCs w:val="30"/>
            </w:rPr>
            <w:fldChar w:fldCharType="begin"/>
          </w:r>
          <w:r>
            <w:rPr>
              <w:rFonts w:hint="eastAsia" w:ascii="仿宋_GB2312" w:hAnsi="仿宋" w:eastAsia="仿宋_GB2312"/>
              <w:sz w:val="30"/>
              <w:szCs w:val="30"/>
            </w:rPr>
            <w:instrText xml:space="preserve"> PAGEREF _Toc144135708 \h </w:instrText>
          </w:r>
          <w:r>
            <w:rPr>
              <w:rFonts w:hint="eastAsia" w:ascii="仿宋_GB2312" w:hAnsi="仿宋" w:eastAsia="仿宋_GB2312"/>
              <w:sz w:val="30"/>
              <w:szCs w:val="30"/>
            </w:rPr>
            <w:fldChar w:fldCharType="separate"/>
          </w:r>
          <w:r>
            <w:rPr>
              <w:rFonts w:hint="eastAsia" w:ascii="仿宋_GB2312" w:hAnsi="仿宋" w:eastAsia="仿宋_GB2312"/>
              <w:sz w:val="30"/>
              <w:szCs w:val="30"/>
            </w:rPr>
            <w:t>10</w:t>
          </w:r>
          <w:r>
            <w:rPr>
              <w:rFonts w:hint="eastAsia" w:ascii="仿宋_GB2312" w:hAnsi="仿宋" w:eastAsia="仿宋_GB2312"/>
              <w:sz w:val="30"/>
              <w:szCs w:val="30"/>
            </w:rPr>
            <w:fldChar w:fldCharType="end"/>
          </w:r>
          <w:r>
            <w:rPr>
              <w:rFonts w:hint="eastAsia" w:ascii="仿宋_GB2312" w:hAnsi="仿宋" w:eastAsia="仿宋_GB2312"/>
              <w:sz w:val="30"/>
              <w:szCs w:val="30"/>
            </w:rPr>
            <w:fldChar w:fldCharType="end"/>
          </w:r>
        </w:p>
        <w:p>
          <w:pPr>
            <w:pStyle w:val="11"/>
            <w:rPr>
              <w:rFonts w:ascii="仿宋_GB2312" w:hAnsi="仿宋" w:eastAsia="仿宋_GB2312" w:cstheme="minorBidi"/>
              <w:sz w:val="30"/>
              <w:szCs w:val="30"/>
            </w:rPr>
          </w:pPr>
          <w:r>
            <w:fldChar w:fldCharType="begin"/>
          </w:r>
          <w:r>
            <w:instrText xml:space="preserve"> HYPERLINK \l "_Toc144135709" </w:instrText>
          </w:r>
          <w:r>
            <w:fldChar w:fldCharType="separate"/>
          </w:r>
          <w:r>
            <w:rPr>
              <w:rStyle w:val="15"/>
              <w:rFonts w:hint="eastAsia" w:ascii="仿宋_GB2312" w:hAnsi="仿宋" w:eastAsia="仿宋_GB2312" w:cstheme="majorBidi"/>
              <w:bCs/>
              <w:sz w:val="30"/>
              <w:szCs w:val="30"/>
            </w:rPr>
            <w:t>九、国有资本经营预算支出决算情况说明</w:t>
          </w:r>
          <w:r>
            <w:rPr>
              <w:rFonts w:hint="eastAsia" w:ascii="仿宋_GB2312" w:hAnsi="仿宋" w:eastAsia="仿宋_GB2312"/>
              <w:sz w:val="30"/>
              <w:szCs w:val="30"/>
            </w:rPr>
            <w:tab/>
          </w:r>
          <w:r>
            <w:rPr>
              <w:rFonts w:hint="eastAsia" w:ascii="仿宋_GB2312" w:hAnsi="仿宋" w:eastAsia="仿宋_GB2312"/>
              <w:sz w:val="30"/>
              <w:szCs w:val="30"/>
            </w:rPr>
            <w:fldChar w:fldCharType="begin"/>
          </w:r>
          <w:r>
            <w:rPr>
              <w:rFonts w:hint="eastAsia" w:ascii="仿宋_GB2312" w:hAnsi="仿宋" w:eastAsia="仿宋_GB2312"/>
              <w:sz w:val="30"/>
              <w:szCs w:val="30"/>
            </w:rPr>
            <w:instrText xml:space="preserve"> PAGEREF _Toc144135709 \h </w:instrText>
          </w:r>
          <w:r>
            <w:rPr>
              <w:rFonts w:hint="eastAsia" w:ascii="仿宋_GB2312" w:hAnsi="仿宋" w:eastAsia="仿宋_GB2312"/>
              <w:sz w:val="30"/>
              <w:szCs w:val="30"/>
            </w:rPr>
            <w:fldChar w:fldCharType="separate"/>
          </w:r>
          <w:r>
            <w:rPr>
              <w:rFonts w:hint="eastAsia" w:ascii="仿宋_GB2312" w:hAnsi="仿宋" w:eastAsia="仿宋_GB2312"/>
              <w:sz w:val="30"/>
              <w:szCs w:val="30"/>
            </w:rPr>
            <w:t>10</w:t>
          </w:r>
          <w:r>
            <w:rPr>
              <w:rFonts w:hint="eastAsia" w:ascii="仿宋_GB2312" w:hAnsi="仿宋" w:eastAsia="仿宋_GB2312"/>
              <w:sz w:val="30"/>
              <w:szCs w:val="30"/>
            </w:rPr>
            <w:fldChar w:fldCharType="end"/>
          </w:r>
          <w:r>
            <w:rPr>
              <w:rFonts w:hint="eastAsia" w:ascii="仿宋_GB2312" w:hAnsi="仿宋" w:eastAsia="仿宋_GB2312"/>
              <w:sz w:val="30"/>
              <w:szCs w:val="30"/>
            </w:rPr>
            <w:fldChar w:fldCharType="end"/>
          </w:r>
        </w:p>
        <w:p>
          <w:pPr>
            <w:pStyle w:val="11"/>
            <w:rPr>
              <w:rFonts w:ascii="仿宋_GB2312" w:hAnsi="仿宋" w:eastAsia="仿宋_GB2312" w:cstheme="minorBidi"/>
              <w:sz w:val="30"/>
              <w:szCs w:val="30"/>
            </w:rPr>
          </w:pPr>
          <w:r>
            <w:fldChar w:fldCharType="begin"/>
          </w:r>
          <w:r>
            <w:instrText xml:space="preserve"> HYPERLINK \l "_Toc144135710" </w:instrText>
          </w:r>
          <w:r>
            <w:fldChar w:fldCharType="separate"/>
          </w:r>
          <w:r>
            <w:rPr>
              <w:rStyle w:val="15"/>
              <w:rFonts w:hint="eastAsia" w:ascii="仿宋_GB2312" w:hAnsi="仿宋" w:eastAsia="仿宋_GB2312" w:cstheme="majorBidi"/>
              <w:bCs/>
              <w:sz w:val="30"/>
              <w:szCs w:val="30"/>
            </w:rPr>
            <w:t>十、其他重要事项的情况说明</w:t>
          </w:r>
          <w:r>
            <w:rPr>
              <w:rFonts w:hint="eastAsia" w:ascii="仿宋_GB2312" w:hAnsi="仿宋" w:eastAsia="仿宋_GB2312"/>
              <w:sz w:val="30"/>
              <w:szCs w:val="30"/>
            </w:rPr>
            <w:tab/>
          </w:r>
          <w:r>
            <w:rPr>
              <w:rFonts w:hint="eastAsia" w:ascii="仿宋_GB2312" w:hAnsi="仿宋" w:eastAsia="仿宋_GB2312"/>
              <w:sz w:val="30"/>
              <w:szCs w:val="30"/>
            </w:rPr>
            <w:fldChar w:fldCharType="begin"/>
          </w:r>
          <w:r>
            <w:rPr>
              <w:rFonts w:hint="eastAsia" w:ascii="仿宋_GB2312" w:hAnsi="仿宋" w:eastAsia="仿宋_GB2312"/>
              <w:sz w:val="30"/>
              <w:szCs w:val="30"/>
            </w:rPr>
            <w:instrText xml:space="preserve"> PAGEREF _Toc144135710 \h </w:instrText>
          </w:r>
          <w:r>
            <w:rPr>
              <w:rFonts w:hint="eastAsia" w:ascii="仿宋_GB2312" w:hAnsi="仿宋" w:eastAsia="仿宋_GB2312"/>
              <w:sz w:val="30"/>
              <w:szCs w:val="30"/>
            </w:rPr>
            <w:fldChar w:fldCharType="separate"/>
          </w:r>
          <w:r>
            <w:rPr>
              <w:rFonts w:hint="eastAsia" w:ascii="仿宋_GB2312" w:hAnsi="仿宋" w:eastAsia="仿宋_GB2312"/>
              <w:sz w:val="30"/>
              <w:szCs w:val="30"/>
            </w:rPr>
            <w:t>10</w:t>
          </w:r>
          <w:r>
            <w:rPr>
              <w:rFonts w:hint="eastAsia" w:ascii="仿宋_GB2312" w:hAnsi="仿宋" w:eastAsia="仿宋_GB2312"/>
              <w:sz w:val="30"/>
              <w:szCs w:val="30"/>
            </w:rPr>
            <w:fldChar w:fldCharType="end"/>
          </w:r>
          <w:r>
            <w:rPr>
              <w:rFonts w:hint="eastAsia" w:ascii="仿宋_GB2312" w:hAnsi="仿宋" w:eastAsia="仿宋_GB2312"/>
              <w:sz w:val="30"/>
              <w:szCs w:val="30"/>
            </w:rPr>
            <w:fldChar w:fldCharType="end"/>
          </w:r>
        </w:p>
        <w:p>
          <w:pPr>
            <w:pStyle w:val="10"/>
            <w:rPr>
              <w:rFonts w:ascii="仿宋_GB2312" w:eastAsia="仿宋_GB2312" w:cstheme="minorBidi"/>
              <w:sz w:val="30"/>
              <w:szCs w:val="30"/>
            </w:rPr>
          </w:pPr>
          <w:r>
            <w:fldChar w:fldCharType="begin"/>
          </w:r>
          <w:r>
            <w:instrText xml:space="preserve"> HYPERLINK \l "_Toc144135715" </w:instrText>
          </w:r>
          <w:r>
            <w:fldChar w:fldCharType="separate"/>
          </w:r>
          <w:r>
            <w:rPr>
              <w:rStyle w:val="15"/>
              <w:rFonts w:hint="eastAsia" w:ascii="仿宋_GB2312" w:eastAsia="仿宋_GB2312"/>
              <w:sz w:val="30"/>
              <w:szCs w:val="30"/>
            </w:rPr>
            <w:t>第三部分 名词解释</w:t>
          </w:r>
          <w:r>
            <w:rPr>
              <w:rFonts w:hint="eastAsia" w:ascii="仿宋_GB2312" w:eastAsia="仿宋_GB2312"/>
              <w:sz w:val="30"/>
              <w:szCs w:val="30"/>
            </w:rPr>
            <w:tab/>
          </w:r>
          <w:r>
            <w:rPr>
              <w:rFonts w:hint="eastAsia" w:ascii="仿宋_GB2312" w:eastAsia="仿宋_GB2312"/>
              <w:sz w:val="30"/>
              <w:szCs w:val="30"/>
            </w:rPr>
            <w:fldChar w:fldCharType="begin"/>
          </w:r>
          <w:r>
            <w:rPr>
              <w:rFonts w:hint="eastAsia" w:ascii="仿宋_GB2312" w:eastAsia="仿宋_GB2312"/>
              <w:sz w:val="30"/>
              <w:szCs w:val="30"/>
            </w:rPr>
            <w:instrText xml:space="preserve"> PAGEREF _Toc144135715 \h </w:instrText>
          </w:r>
          <w:r>
            <w:rPr>
              <w:rFonts w:hint="eastAsia" w:ascii="仿宋_GB2312" w:eastAsia="仿宋_GB2312"/>
              <w:sz w:val="30"/>
              <w:szCs w:val="30"/>
            </w:rPr>
            <w:fldChar w:fldCharType="separate"/>
          </w:r>
          <w:r>
            <w:rPr>
              <w:rFonts w:hint="eastAsia" w:ascii="仿宋_GB2312" w:eastAsia="仿宋_GB2312"/>
              <w:sz w:val="30"/>
              <w:szCs w:val="30"/>
            </w:rPr>
            <w:t>12</w:t>
          </w:r>
          <w:r>
            <w:rPr>
              <w:rFonts w:hint="eastAsia" w:ascii="仿宋_GB2312" w:eastAsia="仿宋_GB2312"/>
              <w:sz w:val="30"/>
              <w:szCs w:val="30"/>
            </w:rPr>
            <w:fldChar w:fldCharType="end"/>
          </w:r>
          <w:r>
            <w:rPr>
              <w:rFonts w:hint="eastAsia" w:ascii="仿宋_GB2312" w:eastAsia="仿宋_GB2312"/>
              <w:sz w:val="30"/>
              <w:szCs w:val="30"/>
            </w:rPr>
            <w:fldChar w:fldCharType="end"/>
          </w:r>
        </w:p>
        <w:p>
          <w:pPr>
            <w:pStyle w:val="10"/>
            <w:rPr>
              <w:rFonts w:ascii="仿宋_GB2312" w:eastAsia="仿宋_GB2312" w:cstheme="minorBidi"/>
              <w:sz w:val="30"/>
              <w:szCs w:val="30"/>
            </w:rPr>
          </w:pPr>
          <w:r>
            <w:fldChar w:fldCharType="begin"/>
          </w:r>
          <w:r>
            <w:instrText xml:space="preserve"> HYPERLINK \l "_Toc144135716" </w:instrText>
          </w:r>
          <w:r>
            <w:fldChar w:fldCharType="separate"/>
          </w:r>
          <w:r>
            <w:rPr>
              <w:rStyle w:val="15"/>
              <w:rFonts w:hint="eastAsia" w:ascii="仿宋_GB2312" w:eastAsia="仿宋_GB2312"/>
              <w:sz w:val="30"/>
              <w:szCs w:val="30"/>
            </w:rPr>
            <w:t>第四部分 附件</w:t>
          </w:r>
          <w:r>
            <w:rPr>
              <w:rFonts w:hint="eastAsia" w:ascii="仿宋_GB2312" w:eastAsia="仿宋_GB2312"/>
              <w:sz w:val="30"/>
              <w:szCs w:val="30"/>
            </w:rPr>
            <w:tab/>
          </w:r>
          <w:r>
            <w:rPr>
              <w:rFonts w:hint="eastAsia" w:ascii="仿宋_GB2312" w:eastAsia="仿宋_GB2312"/>
              <w:sz w:val="30"/>
              <w:szCs w:val="30"/>
            </w:rPr>
            <w:fldChar w:fldCharType="begin"/>
          </w:r>
          <w:r>
            <w:rPr>
              <w:rFonts w:hint="eastAsia" w:ascii="仿宋_GB2312" w:eastAsia="仿宋_GB2312"/>
              <w:sz w:val="30"/>
              <w:szCs w:val="30"/>
            </w:rPr>
            <w:instrText xml:space="preserve"> PAGEREF _Toc144135716 \h </w:instrText>
          </w:r>
          <w:r>
            <w:rPr>
              <w:rFonts w:hint="eastAsia" w:ascii="仿宋_GB2312" w:eastAsia="仿宋_GB2312"/>
              <w:sz w:val="30"/>
              <w:szCs w:val="30"/>
            </w:rPr>
            <w:fldChar w:fldCharType="separate"/>
          </w:r>
          <w:r>
            <w:rPr>
              <w:rFonts w:hint="eastAsia" w:ascii="仿宋_GB2312" w:eastAsia="仿宋_GB2312"/>
              <w:sz w:val="30"/>
              <w:szCs w:val="30"/>
            </w:rPr>
            <w:t>15</w:t>
          </w:r>
          <w:r>
            <w:rPr>
              <w:rFonts w:hint="eastAsia" w:ascii="仿宋_GB2312" w:eastAsia="仿宋_GB2312"/>
              <w:sz w:val="30"/>
              <w:szCs w:val="30"/>
            </w:rPr>
            <w:fldChar w:fldCharType="end"/>
          </w:r>
          <w:r>
            <w:rPr>
              <w:rFonts w:hint="eastAsia" w:ascii="仿宋_GB2312" w:eastAsia="仿宋_GB2312"/>
              <w:sz w:val="30"/>
              <w:szCs w:val="30"/>
            </w:rPr>
            <w:fldChar w:fldCharType="end"/>
          </w:r>
        </w:p>
        <w:p>
          <w:pPr>
            <w:pStyle w:val="10"/>
            <w:rPr>
              <w:rFonts w:ascii="仿宋_GB2312" w:eastAsia="仿宋_GB2312" w:cstheme="minorBidi"/>
              <w:sz w:val="30"/>
              <w:szCs w:val="30"/>
            </w:rPr>
          </w:pPr>
          <w:r>
            <w:fldChar w:fldCharType="begin"/>
          </w:r>
          <w:r>
            <w:instrText xml:space="preserve"> HYPERLINK \l "_Toc144135717" </w:instrText>
          </w:r>
          <w:r>
            <w:fldChar w:fldCharType="separate"/>
          </w:r>
          <w:r>
            <w:rPr>
              <w:rStyle w:val="15"/>
              <w:rFonts w:hint="eastAsia" w:ascii="仿宋_GB2312" w:eastAsia="仿宋_GB2312"/>
              <w:sz w:val="30"/>
              <w:szCs w:val="30"/>
            </w:rPr>
            <w:t>第五部分 附表</w:t>
          </w:r>
          <w:r>
            <w:rPr>
              <w:rFonts w:hint="eastAsia" w:ascii="仿宋_GB2312" w:eastAsia="仿宋_GB2312"/>
              <w:sz w:val="30"/>
              <w:szCs w:val="30"/>
            </w:rPr>
            <w:tab/>
          </w:r>
          <w:r>
            <w:rPr>
              <w:rFonts w:hint="eastAsia" w:ascii="仿宋_GB2312" w:eastAsia="仿宋_GB2312"/>
              <w:sz w:val="30"/>
              <w:szCs w:val="30"/>
            </w:rPr>
            <w:fldChar w:fldCharType="begin"/>
          </w:r>
          <w:r>
            <w:rPr>
              <w:rFonts w:hint="eastAsia" w:ascii="仿宋_GB2312" w:eastAsia="仿宋_GB2312"/>
              <w:sz w:val="30"/>
              <w:szCs w:val="30"/>
            </w:rPr>
            <w:instrText xml:space="preserve"> PAGEREF _Toc144135717 \h </w:instrText>
          </w:r>
          <w:r>
            <w:rPr>
              <w:rFonts w:hint="eastAsia" w:ascii="仿宋_GB2312" w:eastAsia="仿宋_GB2312"/>
              <w:sz w:val="30"/>
              <w:szCs w:val="30"/>
            </w:rPr>
            <w:fldChar w:fldCharType="separate"/>
          </w:r>
          <w:r>
            <w:rPr>
              <w:rFonts w:hint="eastAsia" w:ascii="仿宋_GB2312" w:eastAsia="仿宋_GB2312"/>
              <w:sz w:val="30"/>
              <w:szCs w:val="30"/>
            </w:rPr>
            <w:t>24</w:t>
          </w:r>
          <w:r>
            <w:rPr>
              <w:rFonts w:hint="eastAsia" w:ascii="仿宋_GB2312" w:eastAsia="仿宋_GB2312"/>
              <w:sz w:val="30"/>
              <w:szCs w:val="30"/>
            </w:rPr>
            <w:fldChar w:fldCharType="end"/>
          </w:r>
          <w:r>
            <w:rPr>
              <w:rFonts w:hint="eastAsia" w:ascii="仿宋_GB2312" w:eastAsia="仿宋_GB2312"/>
              <w:sz w:val="30"/>
              <w:szCs w:val="30"/>
            </w:rPr>
            <w:fldChar w:fldCharType="end"/>
          </w:r>
        </w:p>
        <w:p>
          <w:pPr>
            <w:pStyle w:val="11"/>
            <w:rPr>
              <w:rFonts w:ascii="仿宋_GB2312" w:hAnsi="仿宋" w:eastAsia="仿宋_GB2312" w:cstheme="minorBidi"/>
              <w:sz w:val="30"/>
              <w:szCs w:val="30"/>
            </w:rPr>
          </w:pPr>
          <w:r>
            <w:fldChar w:fldCharType="begin"/>
          </w:r>
          <w:r>
            <w:instrText xml:space="preserve"> HYPERLINK \l "_Toc144135718" </w:instrText>
          </w:r>
          <w:r>
            <w:fldChar w:fldCharType="separate"/>
          </w:r>
          <w:r>
            <w:rPr>
              <w:rStyle w:val="15"/>
              <w:rFonts w:hint="eastAsia" w:ascii="仿宋_GB2312" w:hAnsi="仿宋" w:eastAsia="仿宋_GB2312"/>
              <w:sz w:val="30"/>
              <w:szCs w:val="30"/>
            </w:rPr>
            <w:t>一、收入支出决算总表</w:t>
          </w:r>
          <w:r>
            <w:rPr>
              <w:rFonts w:hint="eastAsia" w:ascii="仿宋_GB2312" w:hAnsi="仿宋" w:eastAsia="仿宋_GB2312"/>
              <w:sz w:val="30"/>
              <w:szCs w:val="30"/>
            </w:rPr>
            <w:tab/>
          </w:r>
          <w:r>
            <w:rPr>
              <w:rFonts w:hint="eastAsia" w:ascii="仿宋_GB2312" w:hAnsi="仿宋" w:eastAsia="仿宋_GB2312"/>
              <w:sz w:val="30"/>
              <w:szCs w:val="30"/>
            </w:rPr>
            <w:fldChar w:fldCharType="begin"/>
          </w:r>
          <w:r>
            <w:rPr>
              <w:rFonts w:hint="eastAsia" w:ascii="仿宋_GB2312" w:hAnsi="仿宋" w:eastAsia="仿宋_GB2312"/>
              <w:sz w:val="30"/>
              <w:szCs w:val="30"/>
            </w:rPr>
            <w:instrText xml:space="preserve"> PAGEREF _Toc144135718 \h </w:instrText>
          </w:r>
          <w:r>
            <w:rPr>
              <w:rFonts w:hint="eastAsia" w:ascii="仿宋_GB2312" w:hAnsi="仿宋" w:eastAsia="仿宋_GB2312"/>
              <w:sz w:val="30"/>
              <w:szCs w:val="30"/>
            </w:rPr>
            <w:fldChar w:fldCharType="separate"/>
          </w:r>
          <w:r>
            <w:rPr>
              <w:rFonts w:hint="eastAsia" w:ascii="仿宋_GB2312" w:hAnsi="仿宋" w:eastAsia="仿宋_GB2312"/>
              <w:sz w:val="30"/>
              <w:szCs w:val="30"/>
            </w:rPr>
            <w:t>24</w:t>
          </w:r>
          <w:r>
            <w:rPr>
              <w:rFonts w:hint="eastAsia" w:ascii="仿宋_GB2312" w:hAnsi="仿宋" w:eastAsia="仿宋_GB2312"/>
              <w:sz w:val="30"/>
              <w:szCs w:val="30"/>
            </w:rPr>
            <w:fldChar w:fldCharType="end"/>
          </w:r>
          <w:r>
            <w:rPr>
              <w:rFonts w:hint="eastAsia" w:ascii="仿宋_GB2312" w:hAnsi="仿宋" w:eastAsia="仿宋_GB2312"/>
              <w:sz w:val="30"/>
              <w:szCs w:val="30"/>
            </w:rPr>
            <w:fldChar w:fldCharType="end"/>
          </w:r>
        </w:p>
        <w:p>
          <w:pPr>
            <w:pStyle w:val="11"/>
            <w:rPr>
              <w:rFonts w:ascii="仿宋_GB2312" w:hAnsi="仿宋" w:eastAsia="仿宋_GB2312" w:cstheme="minorBidi"/>
              <w:sz w:val="30"/>
              <w:szCs w:val="30"/>
            </w:rPr>
          </w:pPr>
          <w:r>
            <w:fldChar w:fldCharType="begin"/>
          </w:r>
          <w:r>
            <w:instrText xml:space="preserve"> HYPERLINK \l "_Toc144135719" </w:instrText>
          </w:r>
          <w:r>
            <w:fldChar w:fldCharType="separate"/>
          </w:r>
          <w:r>
            <w:rPr>
              <w:rStyle w:val="15"/>
              <w:rFonts w:hint="eastAsia" w:ascii="仿宋_GB2312" w:hAnsi="仿宋" w:eastAsia="仿宋_GB2312"/>
              <w:sz w:val="30"/>
              <w:szCs w:val="30"/>
            </w:rPr>
            <w:t>二、收入决算表</w:t>
          </w:r>
          <w:r>
            <w:rPr>
              <w:rFonts w:hint="eastAsia" w:ascii="仿宋_GB2312" w:hAnsi="仿宋" w:eastAsia="仿宋_GB2312"/>
              <w:sz w:val="30"/>
              <w:szCs w:val="30"/>
            </w:rPr>
            <w:tab/>
          </w:r>
          <w:r>
            <w:rPr>
              <w:rFonts w:hint="eastAsia" w:ascii="仿宋_GB2312" w:hAnsi="仿宋" w:eastAsia="仿宋_GB2312"/>
              <w:sz w:val="30"/>
              <w:szCs w:val="30"/>
            </w:rPr>
            <w:fldChar w:fldCharType="begin"/>
          </w:r>
          <w:r>
            <w:rPr>
              <w:rFonts w:hint="eastAsia" w:ascii="仿宋_GB2312" w:hAnsi="仿宋" w:eastAsia="仿宋_GB2312"/>
              <w:sz w:val="30"/>
              <w:szCs w:val="30"/>
            </w:rPr>
            <w:instrText xml:space="preserve"> PAGEREF _Toc144135719 \h </w:instrText>
          </w:r>
          <w:r>
            <w:rPr>
              <w:rFonts w:hint="eastAsia" w:ascii="仿宋_GB2312" w:hAnsi="仿宋" w:eastAsia="仿宋_GB2312"/>
              <w:sz w:val="30"/>
              <w:szCs w:val="30"/>
            </w:rPr>
            <w:fldChar w:fldCharType="separate"/>
          </w:r>
          <w:r>
            <w:rPr>
              <w:rFonts w:hint="eastAsia" w:ascii="仿宋_GB2312" w:hAnsi="仿宋" w:eastAsia="仿宋_GB2312"/>
              <w:sz w:val="30"/>
              <w:szCs w:val="30"/>
            </w:rPr>
            <w:t>24</w:t>
          </w:r>
          <w:r>
            <w:rPr>
              <w:rFonts w:hint="eastAsia" w:ascii="仿宋_GB2312" w:hAnsi="仿宋" w:eastAsia="仿宋_GB2312"/>
              <w:sz w:val="30"/>
              <w:szCs w:val="30"/>
            </w:rPr>
            <w:fldChar w:fldCharType="end"/>
          </w:r>
          <w:r>
            <w:rPr>
              <w:rFonts w:hint="eastAsia" w:ascii="仿宋_GB2312" w:hAnsi="仿宋" w:eastAsia="仿宋_GB2312"/>
              <w:sz w:val="30"/>
              <w:szCs w:val="30"/>
            </w:rPr>
            <w:fldChar w:fldCharType="end"/>
          </w:r>
        </w:p>
        <w:p>
          <w:pPr>
            <w:pStyle w:val="11"/>
            <w:rPr>
              <w:rFonts w:ascii="仿宋_GB2312" w:hAnsi="仿宋" w:eastAsia="仿宋_GB2312" w:cstheme="minorBidi"/>
              <w:sz w:val="30"/>
              <w:szCs w:val="30"/>
            </w:rPr>
          </w:pPr>
          <w:r>
            <w:fldChar w:fldCharType="begin"/>
          </w:r>
          <w:r>
            <w:instrText xml:space="preserve"> HYPERLINK \l "_Toc144135720" </w:instrText>
          </w:r>
          <w:r>
            <w:fldChar w:fldCharType="separate"/>
          </w:r>
          <w:r>
            <w:rPr>
              <w:rStyle w:val="15"/>
              <w:rFonts w:hint="eastAsia" w:ascii="仿宋_GB2312" w:hAnsi="仿宋" w:eastAsia="仿宋_GB2312"/>
              <w:sz w:val="30"/>
              <w:szCs w:val="30"/>
            </w:rPr>
            <w:t>三、支出决算表</w:t>
          </w:r>
          <w:r>
            <w:rPr>
              <w:rFonts w:hint="eastAsia" w:ascii="仿宋_GB2312" w:hAnsi="仿宋" w:eastAsia="仿宋_GB2312"/>
              <w:sz w:val="30"/>
              <w:szCs w:val="30"/>
            </w:rPr>
            <w:tab/>
          </w:r>
          <w:r>
            <w:rPr>
              <w:rFonts w:hint="eastAsia" w:ascii="仿宋_GB2312" w:hAnsi="仿宋" w:eastAsia="仿宋_GB2312"/>
              <w:sz w:val="30"/>
              <w:szCs w:val="30"/>
            </w:rPr>
            <w:fldChar w:fldCharType="begin"/>
          </w:r>
          <w:r>
            <w:rPr>
              <w:rFonts w:hint="eastAsia" w:ascii="仿宋_GB2312" w:hAnsi="仿宋" w:eastAsia="仿宋_GB2312"/>
              <w:sz w:val="30"/>
              <w:szCs w:val="30"/>
            </w:rPr>
            <w:instrText xml:space="preserve"> PAGEREF _Toc144135720 \h </w:instrText>
          </w:r>
          <w:r>
            <w:rPr>
              <w:rFonts w:hint="eastAsia" w:ascii="仿宋_GB2312" w:hAnsi="仿宋" w:eastAsia="仿宋_GB2312"/>
              <w:sz w:val="30"/>
              <w:szCs w:val="30"/>
            </w:rPr>
            <w:fldChar w:fldCharType="separate"/>
          </w:r>
          <w:r>
            <w:rPr>
              <w:rFonts w:hint="eastAsia" w:ascii="仿宋_GB2312" w:hAnsi="仿宋" w:eastAsia="仿宋_GB2312"/>
              <w:sz w:val="30"/>
              <w:szCs w:val="30"/>
            </w:rPr>
            <w:t>24</w:t>
          </w:r>
          <w:r>
            <w:rPr>
              <w:rFonts w:hint="eastAsia" w:ascii="仿宋_GB2312" w:hAnsi="仿宋" w:eastAsia="仿宋_GB2312"/>
              <w:sz w:val="30"/>
              <w:szCs w:val="30"/>
            </w:rPr>
            <w:fldChar w:fldCharType="end"/>
          </w:r>
          <w:r>
            <w:rPr>
              <w:rFonts w:hint="eastAsia" w:ascii="仿宋_GB2312" w:hAnsi="仿宋" w:eastAsia="仿宋_GB2312"/>
              <w:sz w:val="30"/>
              <w:szCs w:val="30"/>
            </w:rPr>
            <w:fldChar w:fldCharType="end"/>
          </w:r>
        </w:p>
        <w:p>
          <w:pPr>
            <w:pStyle w:val="11"/>
            <w:rPr>
              <w:rFonts w:ascii="仿宋_GB2312" w:hAnsi="仿宋" w:eastAsia="仿宋_GB2312" w:cstheme="minorBidi"/>
              <w:sz w:val="30"/>
              <w:szCs w:val="30"/>
            </w:rPr>
          </w:pPr>
          <w:r>
            <w:fldChar w:fldCharType="begin"/>
          </w:r>
          <w:r>
            <w:instrText xml:space="preserve"> HYPERLINK \l "_Toc144135721" </w:instrText>
          </w:r>
          <w:r>
            <w:fldChar w:fldCharType="separate"/>
          </w:r>
          <w:r>
            <w:rPr>
              <w:rStyle w:val="15"/>
              <w:rFonts w:hint="eastAsia" w:ascii="仿宋_GB2312" w:hAnsi="仿宋" w:eastAsia="仿宋_GB2312"/>
              <w:sz w:val="30"/>
              <w:szCs w:val="30"/>
            </w:rPr>
            <w:t>四、财政拨款收入支出决算总表</w:t>
          </w:r>
          <w:r>
            <w:rPr>
              <w:rFonts w:hint="eastAsia" w:ascii="仿宋_GB2312" w:hAnsi="仿宋" w:eastAsia="仿宋_GB2312"/>
              <w:sz w:val="30"/>
              <w:szCs w:val="30"/>
            </w:rPr>
            <w:tab/>
          </w:r>
          <w:r>
            <w:rPr>
              <w:rFonts w:hint="eastAsia" w:ascii="仿宋_GB2312" w:hAnsi="仿宋" w:eastAsia="仿宋_GB2312"/>
              <w:sz w:val="30"/>
              <w:szCs w:val="30"/>
            </w:rPr>
            <w:fldChar w:fldCharType="begin"/>
          </w:r>
          <w:r>
            <w:rPr>
              <w:rFonts w:hint="eastAsia" w:ascii="仿宋_GB2312" w:hAnsi="仿宋" w:eastAsia="仿宋_GB2312"/>
              <w:sz w:val="30"/>
              <w:szCs w:val="30"/>
            </w:rPr>
            <w:instrText xml:space="preserve"> PAGEREF _Toc144135721 \h </w:instrText>
          </w:r>
          <w:r>
            <w:rPr>
              <w:rFonts w:hint="eastAsia" w:ascii="仿宋_GB2312" w:hAnsi="仿宋" w:eastAsia="仿宋_GB2312"/>
              <w:sz w:val="30"/>
              <w:szCs w:val="30"/>
            </w:rPr>
            <w:fldChar w:fldCharType="separate"/>
          </w:r>
          <w:r>
            <w:rPr>
              <w:rFonts w:hint="eastAsia" w:ascii="仿宋_GB2312" w:hAnsi="仿宋" w:eastAsia="仿宋_GB2312"/>
              <w:sz w:val="30"/>
              <w:szCs w:val="30"/>
            </w:rPr>
            <w:t>24</w:t>
          </w:r>
          <w:r>
            <w:rPr>
              <w:rFonts w:hint="eastAsia" w:ascii="仿宋_GB2312" w:hAnsi="仿宋" w:eastAsia="仿宋_GB2312"/>
              <w:sz w:val="30"/>
              <w:szCs w:val="30"/>
            </w:rPr>
            <w:fldChar w:fldCharType="end"/>
          </w:r>
          <w:r>
            <w:rPr>
              <w:rFonts w:hint="eastAsia" w:ascii="仿宋_GB2312" w:hAnsi="仿宋" w:eastAsia="仿宋_GB2312"/>
              <w:sz w:val="30"/>
              <w:szCs w:val="30"/>
            </w:rPr>
            <w:fldChar w:fldCharType="end"/>
          </w:r>
        </w:p>
        <w:p>
          <w:pPr>
            <w:pStyle w:val="11"/>
            <w:rPr>
              <w:rFonts w:ascii="仿宋_GB2312" w:hAnsi="仿宋" w:eastAsia="仿宋_GB2312" w:cstheme="minorBidi"/>
              <w:sz w:val="30"/>
              <w:szCs w:val="30"/>
            </w:rPr>
          </w:pPr>
          <w:r>
            <w:fldChar w:fldCharType="begin"/>
          </w:r>
          <w:r>
            <w:instrText xml:space="preserve"> HYPERLINK \l "_Toc144135722" </w:instrText>
          </w:r>
          <w:r>
            <w:fldChar w:fldCharType="separate"/>
          </w:r>
          <w:r>
            <w:rPr>
              <w:rStyle w:val="15"/>
              <w:rFonts w:hint="eastAsia" w:ascii="仿宋_GB2312" w:hAnsi="仿宋" w:eastAsia="仿宋_GB2312"/>
              <w:sz w:val="30"/>
              <w:szCs w:val="30"/>
            </w:rPr>
            <w:t>五、财政拨款支出决算明细表</w:t>
          </w:r>
          <w:r>
            <w:rPr>
              <w:rFonts w:hint="eastAsia" w:ascii="仿宋_GB2312" w:hAnsi="仿宋" w:eastAsia="仿宋_GB2312"/>
              <w:sz w:val="30"/>
              <w:szCs w:val="30"/>
            </w:rPr>
            <w:tab/>
          </w:r>
          <w:r>
            <w:rPr>
              <w:rFonts w:hint="eastAsia" w:ascii="仿宋_GB2312" w:hAnsi="仿宋" w:eastAsia="仿宋_GB2312"/>
              <w:sz w:val="30"/>
              <w:szCs w:val="30"/>
            </w:rPr>
            <w:fldChar w:fldCharType="begin"/>
          </w:r>
          <w:r>
            <w:rPr>
              <w:rFonts w:hint="eastAsia" w:ascii="仿宋_GB2312" w:hAnsi="仿宋" w:eastAsia="仿宋_GB2312"/>
              <w:sz w:val="30"/>
              <w:szCs w:val="30"/>
            </w:rPr>
            <w:instrText xml:space="preserve"> PAGEREF _Toc144135722 \h </w:instrText>
          </w:r>
          <w:r>
            <w:rPr>
              <w:rFonts w:hint="eastAsia" w:ascii="仿宋_GB2312" w:hAnsi="仿宋" w:eastAsia="仿宋_GB2312"/>
              <w:sz w:val="30"/>
              <w:szCs w:val="30"/>
            </w:rPr>
            <w:fldChar w:fldCharType="separate"/>
          </w:r>
          <w:r>
            <w:rPr>
              <w:rFonts w:hint="eastAsia" w:ascii="仿宋_GB2312" w:hAnsi="仿宋" w:eastAsia="仿宋_GB2312"/>
              <w:sz w:val="30"/>
              <w:szCs w:val="30"/>
            </w:rPr>
            <w:t>24</w:t>
          </w:r>
          <w:r>
            <w:rPr>
              <w:rFonts w:hint="eastAsia" w:ascii="仿宋_GB2312" w:hAnsi="仿宋" w:eastAsia="仿宋_GB2312"/>
              <w:sz w:val="30"/>
              <w:szCs w:val="30"/>
            </w:rPr>
            <w:fldChar w:fldCharType="end"/>
          </w:r>
          <w:r>
            <w:rPr>
              <w:rFonts w:hint="eastAsia" w:ascii="仿宋_GB2312" w:hAnsi="仿宋" w:eastAsia="仿宋_GB2312"/>
              <w:sz w:val="30"/>
              <w:szCs w:val="30"/>
            </w:rPr>
            <w:fldChar w:fldCharType="end"/>
          </w:r>
        </w:p>
        <w:p>
          <w:pPr>
            <w:pStyle w:val="11"/>
            <w:rPr>
              <w:rFonts w:ascii="仿宋_GB2312" w:hAnsi="仿宋" w:eastAsia="仿宋_GB2312" w:cstheme="minorBidi"/>
              <w:sz w:val="30"/>
              <w:szCs w:val="30"/>
            </w:rPr>
          </w:pPr>
          <w:r>
            <w:fldChar w:fldCharType="begin"/>
          </w:r>
          <w:r>
            <w:instrText xml:space="preserve"> HYPERLINK \l "_Toc144135723" </w:instrText>
          </w:r>
          <w:r>
            <w:fldChar w:fldCharType="separate"/>
          </w:r>
          <w:r>
            <w:rPr>
              <w:rStyle w:val="15"/>
              <w:rFonts w:hint="eastAsia" w:ascii="仿宋_GB2312" w:hAnsi="仿宋" w:eastAsia="仿宋_GB2312"/>
              <w:sz w:val="30"/>
              <w:szCs w:val="30"/>
            </w:rPr>
            <w:t>六、一般公共预算财政拨款支出决算表</w:t>
          </w:r>
          <w:r>
            <w:rPr>
              <w:rFonts w:hint="eastAsia" w:ascii="仿宋_GB2312" w:hAnsi="仿宋" w:eastAsia="仿宋_GB2312"/>
              <w:sz w:val="30"/>
              <w:szCs w:val="30"/>
            </w:rPr>
            <w:tab/>
          </w:r>
          <w:r>
            <w:rPr>
              <w:rFonts w:hint="eastAsia" w:ascii="仿宋_GB2312" w:hAnsi="仿宋" w:eastAsia="仿宋_GB2312"/>
              <w:sz w:val="30"/>
              <w:szCs w:val="30"/>
            </w:rPr>
            <w:fldChar w:fldCharType="begin"/>
          </w:r>
          <w:r>
            <w:rPr>
              <w:rFonts w:hint="eastAsia" w:ascii="仿宋_GB2312" w:hAnsi="仿宋" w:eastAsia="仿宋_GB2312"/>
              <w:sz w:val="30"/>
              <w:szCs w:val="30"/>
            </w:rPr>
            <w:instrText xml:space="preserve"> PAGEREF _Toc144135723 \h </w:instrText>
          </w:r>
          <w:r>
            <w:rPr>
              <w:rFonts w:hint="eastAsia" w:ascii="仿宋_GB2312" w:hAnsi="仿宋" w:eastAsia="仿宋_GB2312"/>
              <w:sz w:val="30"/>
              <w:szCs w:val="30"/>
            </w:rPr>
            <w:fldChar w:fldCharType="separate"/>
          </w:r>
          <w:r>
            <w:rPr>
              <w:rFonts w:hint="eastAsia" w:ascii="仿宋_GB2312" w:hAnsi="仿宋" w:eastAsia="仿宋_GB2312"/>
              <w:sz w:val="30"/>
              <w:szCs w:val="30"/>
            </w:rPr>
            <w:t>24</w:t>
          </w:r>
          <w:r>
            <w:rPr>
              <w:rFonts w:hint="eastAsia" w:ascii="仿宋_GB2312" w:hAnsi="仿宋" w:eastAsia="仿宋_GB2312"/>
              <w:sz w:val="30"/>
              <w:szCs w:val="30"/>
            </w:rPr>
            <w:fldChar w:fldCharType="end"/>
          </w:r>
          <w:r>
            <w:rPr>
              <w:rFonts w:hint="eastAsia" w:ascii="仿宋_GB2312" w:hAnsi="仿宋" w:eastAsia="仿宋_GB2312"/>
              <w:sz w:val="30"/>
              <w:szCs w:val="30"/>
            </w:rPr>
            <w:fldChar w:fldCharType="end"/>
          </w:r>
        </w:p>
        <w:p>
          <w:pPr>
            <w:pStyle w:val="11"/>
            <w:rPr>
              <w:rFonts w:ascii="仿宋_GB2312" w:hAnsi="仿宋" w:eastAsia="仿宋_GB2312" w:cstheme="minorBidi"/>
              <w:sz w:val="30"/>
              <w:szCs w:val="30"/>
            </w:rPr>
          </w:pPr>
          <w:r>
            <w:fldChar w:fldCharType="begin"/>
          </w:r>
          <w:r>
            <w:instrText xml:space="preserve"> HYPERLINK \l "_Toc144135724" </w:instrText>
          </w:r>
          <w:r>
            <w:fldChar w:fldCharType="separate"/>
          </w:r>
          <w:r>
            <w:rPr>
              <w:rStyle w:val="15"/>
              <w:rFonts w:hint="eastAsia" w:ascii="仿宋_GB2312" w:hAnsi="仿宋" w:eastAsia="仿宋_GB2312"/>
              <w:sz w:val="30"/>
              <w:szCs w:val="30"/>
            </w:rPr>
            <w:t>七、一般公共预算财政拨款支出决算明细表</w:t>
          </w:r>
          <w:r>
            <w:rPr>
              <w:rFonts w:hint="eastAsia" w:ascii="仿宋_GB2312" w:hAnsi="仿宋" w:eastAsia="仿宋_GB2312"/>
              <w:sz w:val="30"/>
              <w:szCs w:val="30"/>
            </w:rPr>
            <w:tab/>
          </w:r>
          <w:r>
            <w:rPr>
              <w:rFonts w:hint="eastAsia" w:ascii="仿宋_GB2312" w:hAnsi="仿宋" w:eastAsia="仿宋_GB2312"/>
              <w:sz w:val="30"/>
              <w:szCs w:val="30"/>
            </w:rPr>
            <w:fldChar w:fldCharType="begin"/>
          </w:r>
          <w:r>
            <w:rPr>
              <w:rFonts w:hint="eastAsia" w:ascii="仿宋_GB2312" w:hAnsi="仿宋" w:eastAsia="仿宋_GB2312"/>
              <w:sz w:val="30"/>
              <w:szCs w:val="30"/>
            </w:rPr>
            <w:instrText xml:space="preserve"> PAGEREF _Toc144135724 \h </w:instrText>
          </w:r>
          <w:r>
            <w:rPr>
              <w:rFonts w:hint="eastAsia" w:ascii="仿宋_GB2312" w:hAnsi="仿宋" w:eastAsia="仿宋_GB2312"/>
              <w:sz w:val="30"/>
              <w:szCs w:val="30"/>
            </w:rPr>
            <w:fldChar w:fldCharType="separate"/>
          </w:r>
          <w:r>
            <w:rPr>
              <w:rFonts w:hint="eastAsia" w:ascii="仿宋_GB2312" w:hAnsi="仿宋" w:eastAsia="仿宋_GB2312"/>
              <w:sz w:val="30"/>
              <w:szCs w:val="30"/>
            </w:rPr>
            <w:t>24</w:t>
          </w:r>
          <w:r>
            <w:rPr>
              <w:rFonts w:hint="eastAsia" w:ascii="仿宋_GB2312" w:hAnsi="仿宋" w:eastAsia="仿宋_GB2312"/>
              <w:sz w:val="30"/>
              <w:szCs w:val="30"/>
            </w:rPr>
            <w:fldChar w:fldCharType="end"/>
          </w:r>
          <w:r>
            <w:rPr>
              <w:rFonts w:hint="eastAsia" w:ascii="仿宋_GB2312" w:hAnsi="仿宋" w:eastAsia="仿宋_GB2312"/>
              <w:sz w:val="30"/>
              <w:szCs w:val="30"/>
            </w:rPr>
            <w:fldChar w:fldCharType="end"/>
          </w:r>
        </w:p>
        <w:p>
          <w:pPr>
            <w:pStyle w:val="11"/>
            <w:rPr>
              <w:rFonts w:ascii="仿宋_GB2312" w:hAnsi="仿宋" w:eastAsia="仿宋_GB2312" w:cstheme="minorBidi"/>
              <w:sz w:val="30"/>
              <w:szCs w:val="30"/>
            </w:rPr>
          </w:pPr>
          <w:r>
            <w:fldChar w:fldCharType="begin"/>
          </w:r>
          <w:r>
            <w:instrText xml:space="preserve"> HYPERLINK \l "_Toc144135725" </w:instrText>
          </w:r>
          <w:r>
            <w:fldChar w:fldCharType="separate"/>
          </w:r>
          <w:r>
            <w:rPr>
              <w:rStyle w:val="15"/>
              <w:rFonts w:hint="eastAsia" w:ascii="仿宋_GB2312" w:hAnsi="仿宋" w:eastAsia="仿宋_GB2312"/>
              <w:sz w:val="30"/>
              <w:szCs w:val="30"/>
            </w:rPr>
            <w:t>八、一般公共预算财政拨款基本支出决算表</w:t>
          </w:r>
          <w:r>
            <w:rPr>
              <w:rFonts w:hint="eastAsia" w:ascii="仿宋_GB2312" w:hAnsi="仿宋" w:eastAsia="仿宋_GB2312"/>
              <w:sz w:val="30"/>
              <w:szCs w:val="30"/>
            </w:rPr>
            <w:tab/>
          </w:r>
          <w:r>
            <w:rPr>
              <w:rFonts w:hint="eastAsia" w:ascii="仿宋_GB2312" w:hAnsi="仿宋" w:eastAsia="仿宋_GB2312"/>
              <w:sz w:val="30"/>
              <w:szCs w:val="30"/>
            </w:rPr>
            <w:fldChar w:fldCharType="begin"/>
          </w:r>
          <w:r>
            <w:rPr>
              <w:rFonts w:hint="eastAsia" w:ascii="仿宋_GB2312" w:hAnsi="仿宋" w:eastAsia="仿宋_GB2312"/>
              <w:sz w:val="30"/>
              <w:szCs w:val="30"/>
            </w:rPr>
            <w:instrText xml:space="preserve"> PAGEREF _Toc144135725 \h </w:instrText>
          </w:r>
          <w:r>
            <w:rPr>
              <w:rFonts w:hint="eastAsia" w:ascii="仿宋_GB2312" w:hAnsi="仿宋" w:eastAsia="仿宋_GB2312"/>
              <w:sz w:val="30"/>
              <w:szCs w:val="30"/>
            </w:rPr>
            <w:fldChar w:fldCharType="separate"/>
          </w:r>
          <w:r>
            <w:rPr>
              <w:rFonts w:hint="eastAsia" w:ascii="仿宋_GB2312" w:hAnsi="仿宋" w:eastAsia="仿宋_GB2312"/>
              <w:sz w:val="30"/>
              <w:szCs w:val="30"/>
            </w:rPr>
            <w:t>24</w:t>
          </w:r>
          <w:r>
            <w:rPr>
              <w:rFonts w:hint="eastAsia" w:ascii="仿宋_GB2312" w:hAnsi="仿宋" w:eastAsia="仿宋_GB2312"/>
              <w:sz w:val="30"/>
              <w:szCs w:val="30"/>
            </w:rPr>
            <w:fldChar w:fldCharType="end"/>
          </w:r>
          <w:r>
            <w:rPr>
              <w:rFonts w:hint="eastAsia" w:ascii="仿宋_GB2312" w:hAnsi="仿宋" w:eastAsia="仿宋_GB2312"/>
              <w:sz w:val="30"/>
              <w:szCs w:val="30"/>
            </w:rPr>
            <w:fldChar w:fldCharType="end"/>
          </w:r>
        </w:p>
        <w:p>
          <w:pPr>
            <w:pStyle w:val="11"/>
            <w:rPr>
              <w:rFonts w:ascii="仿宋_GB2312" w:hAnsi="仿宋" w:eastAsia="仿宋_GB2312" w:cstheme="minorBidi"/>
              <w:sz w:val="30"/>
              <w:szCs w:val="30"/>
            </w:rPr>
          </w:pPr>
          <w:r>
            <w:fldChar w:fldCharType="begin"/>
          </w:r>
          <w:r>
            <w:instrText xml:space="preserve"> HYPERLINK \l "_Toc144135726" </w:instrText>
          </w:r>
          <w:r>
            <w:fldChar w:fldCharType="separate"/>
          </w:r>
          <w:r>
            <w:rPr>
              <w:rStyle w:val="15"/>
              <w:rFonts w:hint="eastAsia" w:ascii="仿宋_GB2312" w:hAnsi="仿宋" w:eastAsia="仿宋_GB2312"/>
              <w:sz w:val="30"/>
              <w:szCs w:val="30"/>
            </w:rPr>
            <w:t>九、一般公共预算财政拨款项目支出决算表</w:t>
          </w:r>
          <w:r>
            <w:rPr>
              <w:rFonts w:hint="eastAsia" w:ascii="仿宋_GB2312" w:hAnsi="仿宋" w:eastAsia="仿宋_GB2312"/>
              <w:sz w:val="30"/>
              <w:szCs w:val="30"/>
            </w:rPr>
            <w:tab/>
          </w:r>
          <w:r>
            <w:rPr>
              <w:rFonts w:hint="eastAsia" w:ascii="仿宋_GB2312" w:hAnsi="仿宋" w:eastAsia="仿宋_GB2312"/>
              <w:sz w:val="30"/>
              <w:szCs w:val="30"/>
            </w:rPr>
            <w:fldChar w:fldCharType="begin"/>
          </w:r>
          <w:r>
            <w:rPr>
              <w:rFonts w:hint="eastAsia" w:ascii="仿宋_GB2312" w:hAnsi="仿宋" w:eastAsia="仿宋_GB2312"/>
              <w:sz w:val="30"/>
              <w:szCs w:val="30"/>
            </w:rPr>
            <w:instrText xml:space="preserve"> PAGEREF _Toc144135726 \h </w:instrText>
          </w:r>
          <w:r>
            <w:rPr>
              <w:rFonts w:hint="eastAsia" w:ascii="仿宋_GB2312" w:hAnsi="仿宋" w:eastAsia="仿宋_GB2312"/>
              <w:sz w:val="30"/>
              <w:szCs w:val="30"/>
            </w:rPr>
            <w:fldChar w:fldCharType="separate"/>
          </w:r>
          <w:r>
            <w:rPr>
              <w:rFonts w:hint="eastAsia" w:ascii="仿宋_GB2312" w:hAnsi="仿宋" w:eastAsia="仿宋_GB2312"/>
              <w:sz w:val="30"/>
              <w:szCs w:val="30"/>
            </w:rPr>
            <w:t>24</w:t>
          </w:r>
          <w:r>
            <w:rPr>
              <w:rFonts w:hint="eastAsia" w:ascii="仿宋_GB2312" w:hAnsi="仿宋" w:eastAsia="仿宋_GB2312"/>
              <w:sz w:val="30"/>
              <w:szCs w:val="30"/>
            </w:rPr>
            <w:fldChar w:fldCharType="end"/>
          </w:r>
          <w:r>
            <w:rPr>
              <w:rFonts w:hint="eastAsia" w:ascii="仿宋_GB2312" w:hAnsi="仿宋" w:eastAsia="仿宋_GB2312"/>
              <w:sz w:val="30"/>
              <w:szCs w:val="30"/>
            </w:rPr>
            <w:fldChar w:fldCharType="end"/>
          </w:r>
        </w:p>
        <w:p>
          <w:pPr>
            <w:pStyle w:val="11"/>
            <w:rPr>
              <w:rFonts w:ascii="仿宋_GB2312" w:hAnsi="仿宋" w:eastAsia="仿宋_GB2312" w:cstheme="minorBidi"/>
              <w:sz w:val="30"/>
              <w:szCs w:val="30"/>
            </w:rPr>
          </w:pPr>
          <w:r>
            <w:fldChar w:fldCharType="begin"/>
          </w:r>
          <w:r>
            <w:instrText xml:space="preserve"> HYPERLINK \l "_Toc144135727" </w:instrText>
          </w:r>
          <w:r>
            <w:fldChar w:fldCharType="separate"/>
          </w:r>
          <w:r>
            <w:rPr>
              <w:rStyle w:val="15"/>
              <w:rFonts w:hint="eastAsia" w:ascii="仿宋_GB2312" w:hAnsi="仿宋" w:eastAsia="仿宋_GB2312"/>
              <w:sz w:val="30"/>
              <w:szCs w:val="30"/>
            </w:rPr>
            <w:t>十、政府性基金预算财政拨款收入支出决算表</w:t>
          </w:r>
          <w:r>
            <w:rPr>
              <w:rFonts w:hint="eastAsia" w:ascii="仿宋_GB2312" w:hAnsi="仿宋" w:eastAsia="仿宋_GB2312"/>
              <w:sz w:val="30"/>
              <w:szCs w:val="30"/>
            </w:rPr>
            <w:tab/>
          </w:r>
          <w:r>
            <w:rPr>
              <w:rFonts w:hint="eastAsia" w:ascii="仿宋_GB2312" w:hAnsi="仿宋" w:eastAsia="仿宋_GB2312"/>
              <w:sz w:val="30"/>
              <w:szCs w:val="30"/>
            </w:rPr>
            <w:fldChar w:fldCharType="begin"/>
          </w:r>
          <w:r>
            <w:rPr>
              <w:rFonts w:hint="eastAsia" w:ascii="仿宋_GB2312" w:hAnsi="仿宋" w:eastAsia="仿宋_GB2312"/>
              <w:sz w:val="30"/>
              <w:szCs w:val="30"/>
            </w:rPr>
            <w:instrText xml:space="preserve"> PAGEREF _Toc144135727 \h </w:instrText>
          </w:r>
          <w:r>
            <w:rPr>
              <w:rFonts w:hint="eastAsia" w:ascii="仿宋_GB2312" w:hAnsi="仿宋" w:eastAsia="仿宋_GB2312"/>
              <w:sz w:val="30"/>
              <w:szCs w:val="30"/>
            </w:rPr>
            <w:fldChar w:fldCharType="separate"/>
          </w:r>
          <w:r>
            <w:rPr>
              <w:rFonts w:hint="eastAsia" w:ascii="仿宋_GB2312" w:hAnsi="仿宋" w:eastAsia="仿宋_GB2312"/>
              <w:sz w:val="30"/>
              <w:szCs w:val="30"/>
            </w:rPr>
            <w:t>24</w:t>
          </w:r>
          <w:r>
            <w:rPr>
              <w:rFonts w:hint="eastAsia" w:ascii="仿宋_GB2312" w:hAnsi="仿宋" w:eastAsia="仿宋_GB2312"/>
              <w:sz w:val="30"/>
              <w:szCs w:val="30"/>
            </w:rPr>
            <w:fldChar w:fldCharType="end"/>
          </w:r>
          <w:r>
            <w:rPr>
              <w:rFonts w:hint="eastAsia" w:ascii="仿宋_GB2312" w:hAnsi="仿宋" w:eastAsia="仿宋_GB2312"/>
              <w:sz w:val="30"/>
              <w:szCs w:val="30"/>
            </w:rPr>
            <w:fldChar w:fldCharType="end"/>
          </w:r>
        </w:p>
        <w:p>
          <w:pPr>
            <w:pStyle w:val="11"/>
            <w:rPr>
              <w:rFonts w:ascii="仿宋_GB2312" w:hAnsi="仿宋" w:eastAsia="仿宋_GB2312" w:cstheme="minorBidi"/>
              <w:sz w:val="30"/>
              <w:szCs w:val="30"/>
            </w:rPr>
          </w:pPr>
          <w:r>
            <w:fldChar w:fldCharType="begin"/>
          </w:r>
          <w:r>
            <w:instrText xml:space="preserve"> HYPERLINK \l "_Toc144135728" </w:instrText>
          </w:r>
          <w:r>
            <w:fldChar w:fldCharType="separate"/>
          </w:r>
          <w:r>
            <w:rPr>
              <w:rStyle w:val="15"/>
              <w:rFonts w:hint="eastAsia" w:ascii="仿宋_GB2312" w:hAnsi="仿宋" w:eastAsia="仿宋_GB2312"/>
              <w:sz w:val="30"/>
              <w:szCs w:val="30"/>
            </w:rPr>
            <w:t>十一、国有资本经营预算财政拨款收入支出决算表</w:t>
          </w:r>
          <w:r>
            <w:rPr>
              <w:rFonts w:hint="eastAsia" w:ascii="仿宋_GB2312" w:hAnsi="仿宋" w:eastAsia="仿宋_GB2312"/>
              <w:sz w:val="30"/>
              <w:szCs w:val="30"/>
            </w:rPr>
            <w:tab/>
          </w:r>
          <w:r>
            <w:rPr>
              <w:rFonts w:hint="eastAsia" w:ascii="仿宋_GB2312" w:hAnsi="仿宋" w:eastAsia="仿宋_GB2312"/>
              <w:sz w:val="30"/>
              <w:szCs w:val="30"/>
            </w:rPr>
            <w:fldChar w:fldCharType="begin"/>
          </w:r>
          <w:r>
            <w:rPr>
              <w:rFonts w:hint="eastAsia" w:ascii="仿宋_GB2312" w:hAnsi="仿宋" w:eastAsia="仿宋_GB2312"/>
              <w:sz w:val="30"/>
              <w:szCs w:val="30"/>
            </w:rPr>
            <w:instrText xml:space="preserve"> PAGEREF _Toc144135728 \h </w:instrText>
          </w:r>
          <w:r>
            <w:rPr>
              <w:rFonts w:hint="eastAsia" w:ascii="仿宋_GB2312" w:hAnsi="仿宋" w:eastAsia="仿宋_GB2312"/>
              <w:sz w:val="30"/>
              <w:szCs w:val="30"/>
            </w:rPr>
            <w:fldChar w:fldCharType="separate"/>
          </w:r>
          <w:r>
            <w:rPr>
              <w:rFonts w:hint="eastAsia" w:ascii="仿宋_GB2312" w:hAnsi="仿宋" w:eastAsia="仿宋_GB2312"/>
              <w:sz w:val="30"/>
              <w:szCs w:val="30"/>
            </w:rPr>
            <w:t>24</w:t>
          </w:r>
          <w:r>
            <w:rPr>
              <w:rFonts w:hint="eastAsia" w:ascii="仿宋_GB2312" w:hAnsi="仿宋" w:eastAsia="仿宋_GB2312"/>
              <w:sz w:val="30"/>
              <w:szCs w:val="30"/>
            </w:rPr>
            <w:fldChar w:fldCharType="end"/>
          </w:r>
          <w:r>
            <w:rPr>
              <w:rFonts w:hint="eastAsia" w:ascii="仿宋_GB2312" w:hAnsi="仿宋" w:eastAsia="仿宋_GB2312"/>
              <w:sz w:val="30"/>
              <w:szCs w:val="30"/>
            </w:rPr>
            <w:fldChar w:fldCharType="end"/>
          </w:r>
        </w:p>
        <w:p>
          <w:pPr>
            <w:pStyle w:val="11"/>
            <w:rPr>
              <w:rFonts w:ascii="仿宋_GB2312" w:hAnsi="仿宋" w:eastAsia="仿宋_GB2312" w:cstheme="minorBidi"/>
              <w:sz w:val="30"/>
              <w:szCs w:val="30"/>
            </w:rPr>
          </w:pPr>
          <w:r>
            <w:fldChar w:fldCharType="begin"/>
          </w:r>
          <w:r>
            <w:instrText xml:space="preserve"> HYPERLINK \l "_Toc144135729" </w:instrText>
          </w:r>
          <w:r>
            <w:fldChar w:fldCharType="separate"/>
          </w:r>
          <w:r>
            <w:rPr>
              <w:rStyle w:val="15"/>
              <w:rFonts w:hint="eastAsia" w:ascii="仿宋_GB2312" w:hAnsi="仿宋" w:eastAsia="仿宋_GB2312"/>
              <w:sz w:val="30"/>
              <w:szCs w:val="30"/>
            </w:rPr>
            <w:t>十二、国有资本经营预算财政拨款支出决算表</w:t>
          </w:r>
          <w:r>
            <w:rPr>
              <w:rFonts w:hint="eastAsia" w:ascii="仿宋_GB2312" w:hAnsi="仿宋" w:eastAsia="仿宋_GB2312"/>
              <w:sz w:val="30"/>
              <w:szCs w:val="30"/>
            </w:rPr>
            <w:tab/>
          </w:r>
          <w:r>
            <w:rPr>
              <w:rFonts w:hint="eastAsia" w:ascii="仿宋_GB2312" w:hAnsi="仿宋" w:eastAsia="仿宋_GB2312"/>
              <w:sz w:val="30"/>
              <w:szCs w:val="30"/>
            </w:rPr>
            <w:fldChar w:fldCharType="begin"/>
          </w:r>
          <w:r>
            <w:rPr>
              <w:rFonts w:hint="eastAsia" w:ascii="仿宋_GB2312" w:hAnsi="仿宋" w:eastAsia="仿宋_GB2312"/>
              <w:sz w:val="30"/>
              <w:szCs w:val="30"/>
            </w:rPr>
            <w:instrText xml:space="preserve"> PAGEREF _Toc144135729 \h </w:instrText>
          </w:r>
          <w:r>
            <w:rPr>
              <w:rFonts w:hint="eastAsia" w:ascii="仿宋_GB2312" w:hAnsi="仿宋" w:eastAsia="仿宋_GB2312"/>
              <w:sz w:val="30"/>
              <w:szCs w:val="30"/>
            </w:rPr>
            <w:fldChar w:fldCharType="separate"/>
          </w:r>
          <w:r>
            <w:rPr>
              <w:rFonts w:hint="eastAsia" w:ascii="仿宋_GB2312" w:hAnsi="仿宋" w:eastAsia="仿宋_GB2312"/>
              <w:sz w:val="30"/>
              <w:szCs w:val="30"/>
            </w:rPr>
            <w:t>24</w:t>
          </w:r>
          <w:r>
            <w:rPr>
              <w:rFonts w:hint="eastAsia" w:ascii="仿宋_GB2312" w:hAnsi="仿宋" w:eastAsia="仿宋_GB2312"/>
              <w:sz w:val="30"/>
              <w:szCs w:val="30"/>
            </w:rPr>
            <w:fldChar w:fldCharType="end"/>
          </w:r>
          <w:r>
            <w:rPr>
              <w:rFonts w:hint="eastAsia" w:ascii="仿宋_GB2312" w:hAnsi="仿宋" w:eastAsia="仿宋_GB2312"/>
              <w:sz w:val="30"/>
              <w:szCs w:val="30"/>
            </w:rPr>
            <w:fldChar w:fldCharType="end"/>
          </w:r>
        </w:p>
        <w:p>
          <w:pPr>
            <w:pStyle w:val="11"/>
            <w:rPr>
              <w:rFonts w:ascii="仿宋_GB2312" w:hAnsi="仿宋" w:eastAsia="仿宋_GB2312" w:cstheme="minorBidi"/>
              <w:sz w:val="30"/>
              <w:szCs w:val="30"/>
            </w:rPr>
          </w:pPr>
          <w:r>
            <w:fldChar w:fldCharType="begin"/>
          </w:r>
          <w:r>
            <w:instrText xml:space="preserve"> HYPERLINK \l "_Toc144135730" </w:instrText>
          </w:r>
          <w:r>
            <w:fldChar w:fldCharType="separate"/>
          </w:r>
          <w:r>
            <w:rPr>
              <w:rStyle w:val="15"/>
              <w:rFonts w:hint="eastAsia" w:ascii="仿宋_GB2312" w:hAnsi="仿宋" w:eastAsia="仿宋_GB2312"/>
              <w:sz w:val="30"/>
              <w:szCs w:val="30"/>
            </w:rPr>
            <w:t>十三、财政拨款“三公”经费支出决算表</w:t>
          </w:r>
          <w:r>
            <w:rPr>
              <w:rFonts w:hint="eastAsia" w:ascii="仿宋_GB2312" w:hAnsi="仿宋" w:eastAsia="仿宋_GB2312"/>
              <w:sz w:val="30"/>
              <w:szCs w:val="30"/>
            </w:rPr>
            <w:tab/>
          </w:r>
          <w:r>
            <w:rPr>
              <w:rFonts w:hint="eastAsia" w:ascii="仿宋_GB2312" w:hAnsi="仿宋" w:eastAsia="仿宋_GB2312"/>
              <w:sz w:val="30"/>
              <w:szCs w:val="30"/>
            </w:rPr>
            <w:fldChar w:fldCharType="begin"/>
          </w:r>
          <w:r>
            <w:rPr>
              <w:rFonts w:hint="eastAsia" w:ascii="仿宋_GB2312" w:hAnsi="仿宋" w:eastAsia="仿宋_GB2312"/>
              <w:sz w:val="30"/>
              <w:szCs w:val="30"/>
            </w:rPr>
            <w:instrText xml:space="preserve"> PAGEREF _Toc144135730 \h </w:instrText>
          </w:r>
          <w:r>
            <w:rPr>
              <w:rFonts w:hint="eastAsia" w:ascii="仿宋_GB2312" w:hAnsi="仿宋" w:eastAsia="仿宋_GB2312"/>
              <w:sz w:val="30"/>
              <w:szCs w:val="30"/>
            </w:rPr>
            <w:fldChar w:fldCharType="separate"/>
          </w:r>
          <w:r>
            <w:rPr>
              <w:rFonts w:hint="eastAsia" w:ascii="仿宋_GB2312" w:hAnsi="仿宋" w:eastAsia="仿宋_GB2312"/>
              <w:sz w:val="30"/>
              <w:szCs w:val="30"/>
            </w:rPr>
            <w:t>24</w:t>
          </w:r>
          <w:r>
            <w:rPr>
              <w:rFonts w:hint="eastAsia" w:ascii="仿宋_GB2312" w:hAnsi="仿宋" w:eastAsia="仿宋_GB2312"/>
              <w:sz w:val="30"/>
              <w:szCs w:val="30"/>
            </w:rPr>
            <w:fldChar w:fldCharType="end"/>
          </w:r>
          <w:r>
            <w:rPr>
              <w:rFonts w:hint="eastAsia" w:ascii="仿宋_GB2312" w:hAnsi="仿宋" w:eastAsia="仿宋_GB2312"/>
              <w:sz w:val="30"/>
              <w:szCs w:val="30"/>
            </w:rPr>
            <w:fldChar w:fldCharType="end"/>
          </w:r>
        </w:p>
        <w:p>
          <w:r>
            <w:rPr>
              <w:b/>
              <w:bCs/>
              <w:lang w:val="zh-CN"/>
            </w:rPr>
            <w:fldChar w:fldCharType="end"/>
          </w:r>
        </w:p>
      </w:sdtContent>
    </w:sdt>
    <w:p>
      <w:pPr>
        <w:pStyle w:val="2"/>
        <w:spacing w:before="93"/>
      </w:pPr>
    </w:p>
    <w:p>
      <w:pPr>
        <w:pStyle w:val="2"/>
        <w:spacing w:before="93"/>
      </w:pPr>
    </w:p>
    <w:p>
      <w:pPr>
        <w:pStyle w:val="2"/>
        <w:spacing w:before="93"/>
      </w:pPr>
    </w:p>
    <w:p>
      <w:pPr>
        <w:pStyle w:val="2"/>
        <w:spacing w:before="93"/>
      </w:pPr>
    </w:p>
    <w:p>
      <w:pPr>
        <w:pStyle w:val="2"/>
        <w:spacing w:before="93"/>
      </w:pPr>
    </w:p>
    <w:p>
      <w:pPr>
        <w:pStyle w:val="2"/>
        <w:spacing w:before="93"/>
      </w:pPr>
    </w:p>
    <w:p>
      <w:pPr>
        <w:pStyle w:val="2"/>
        <w:spacing w:before="93"/>
      </w:pPr>
    </w:p>
    <w:p>
      <w:pPr>
        <w:pStyle w:val="2"/>
        <w:spacing w:before="93"/>
      </w:pPr>
    </w:p>
    <w:p>
      <w:pPr>
        <w:pStyle w:val="3"/>
        <w:rPr>
          <w:rFonts w:ascii="黑体" w:hAnsi="黑体" w:eastAsia="黑体"/>
          <w:b w:val="0"/>
        </w:rPr>
        <w:sectPr>
          <w:footerReference r:id="rId5" w:type="first"/>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bookmarkStart w:id="16" w:name="_Toc144135690"/>
    </w:p>
    <w:p>
      <w:pPr>
        <w:jc w:val="center"/>
        <w:rPr>
          <w:rStyle w:val="17"/>
          <w:rFonts w:ascii="方正小标宋_GBK" w:hAnsi="黑体" w:eastAsia="方正小标宋_GBK"/>
          <w:b w:val="0"/>
          <w:bCs w:val="0"/>
        </w:rPr>
      </w:pPr>
      <w:r>
        <w:rPr>
          <w:rStyle w:val="17"/>
          <w:rFonts w:hint="eastAsia" w:ascii="方正小标宋_GBK" w:hAnsi="黑体" w:eastAsia="方正小标宋_GBK"/>
          <w:b w:val="0"/>
          <w:bCs w:val="0"/>
        </w:rPr>
        <w:t>第一部分 单位概况</w:t>
      </w:r>
      <w:bookmarkEnd w:id="14"/>
      <w:bookmarkEnd w:id="15"/>
      <w:bookmarkEnd w:id="16"/>
    </w:p>
    <w:p>
      <w:pPr>
        <w:spacing w:line="560" w:lineRule="exact"/>
        <w:ind w:firstLine="640" w:firstLineChars="200"/>
        <w:rPr>
          <w:rStyle w:val="18"/>
          <w:rFonts w:ascii="黑体" w:hAnsi="黑体" w:eastAsia="黑体"/>
          <w:b w:val="0"/>
          <w:bCs w:val="0"/>
        </w:rPr>
      </w:pPr>
      <w:bookmarkStart w:id="17" w:name="_Toc144135691"/>
      <w:bookmarkStart w:id="18" w:name="_Toc15377197"/>
      <w:bookmarkStart w:id="19" w:name="_Toc15396600"/>
      <w:r>
        <w:rPr>
          <w:rStyle w:val="18"/>
          <w:rFonts w:hint="eastAsia" w:ascii="黑体" w:hAnsi="黑体" w:eastAsia="黑体"/>
          <w:b w:val="0"/>
          <w:bCs w:val="0"/>
        </w:rPr>
        <w:t>一、主要职责</w:t>
      </w:r>
      <w:bookmarkEnd w:id="17"/>
    </w:p>
    <w:p>
      <w:pPr>
        <w:spacing w:line="560" w:lineRule="exact"/>
        <w:ind w:firstLine="640" w:firstLineChars="200"/>
        <w:rPr>
          <w:rFonts w:ascii="仿宋_GB2312" w:hAnsi="仿宋" w:eastAsia="仿宋_GB2312"/>
          <w:kern w:val="0"/>
          <w:sz w:val="32"/>
        </w:rPr>
      </w:pPr>
      <w:r>
        <w:rPr>
          <w:rFonts w:hint="eastAsia" w:ascii="仿宋_GB2312" w:hAnsi="仿宋" w:eastAsia="仿宋_GB2312"/>
          <w:kern w:val="0"/>
          <w:sz w:val="32"/>
        </w:rPr>
        <w:t>学校坚持“学生主体、教师主导、环境育人、社会合作”的办学思路，积极探索知识结构模块化、理论实践融合化、教学服务信息化、考核评价常态化的“四化一体”人才培养模式改革，实施四年递进式创新创业教育计划，努力构建学生通识核心知识、通识实践能力、学科基础知识、专业基础知识、专业核心知识、综合应用能力、复合素质培养七大知识体系，培养具有“三心四能五复合”的高素质应用型、复合型人才。</w:t>
      </w:r>
    </w:p>
    <w:p>
      <w:pPr>
        <w:spacing w:line="560" w:lineRule="exact"/>
        <w:ind w:firstLine="640" w:firstLineChars="200"/>
        <w:rPr>
          <w:rFonts w:ascii="仿宋_GB2312" w:hAnsi="仿宋" w:eastAsia="仿宋_GB2312"/>
          <w:kern w:val="0"/>
          <w:sz w:val="32"/>
        </w:rPr>
      </w:pPr>
      <w:bookmarkStart w:id="110" w:name="_GoBack"/>
      <w:bookmarkEnd w:id="110"/>
      <w:r>
        <w:rPr>
          <w:rFonts w:hint="eastAsia" w:ascii="仿宋_GB2312" w:hAnsi="仿宋" w:eastAsia="仿宋_GB2312"/>
          <w:kern w:val="0"/>
          <w:sz w:val="32"/>
        </w:rPr>
        <w:t>春风化雨、桃李芬芳。学校与美国、英国、法国、澳大利亚、捷克、韩国、马来西亚、泰国、老挝等国家10余所高校建立合作交流关系，每年有300多名师生到海外高校学习交流。与国内100多家地方政府、大中型企业和事业单位建立共建合作关系。建校以来为社会培养了10万余名大学毕业生，毕业生专业基础知识扎实，富有实践能力和创新意识，深受用人单位欢迎，毕业生就业去向落实率始终居于全省同类高校前列。</w:t>
      </w:r>
    </w:p>
    <w:p>
      <w:pPr>
        <w:overflowPunct w:val="0"/>
        <w:autoSpaceDE w:val="0"/>
        <w:autoSpaceDN w:val="0"/>
        <w:adjustRightInd w:val="0"/>
        <w:snapToGrid w:val="0"/>
        <w:spacing w:line="560" w:lineRule="exact"/>
        <w:ind w:firstLine="640" w:firstLineChars="200"/>
        <w:rPr>
          <w:rFonts w:ascii="仿宋_GB2312" w:hAnsi="仿宋" w:eastAsia="仿宋_GB2312"/>
          <w:kern w:val="0"/>
          <w:sz w:val="32"/>
        </w:rPr>
      </w:pPr>
      <w:r>
        <w:rPr>
          <w:rFonts w:hint="eastAsia" w:ascii="仿宋_GB2312" w:hAnsi="仿宋" w:eastAsia="仿宋_GB2312"/>
          <w:kern w:val="0"/>
          <w:sz w:val="32"/>
        </w:rPr>
        <w:t>学校实施科研强校战略，注重科研平台和团队建设。建有省级重点研究基地四川革命老区发展研究中心、青少年文学艺术社科普及基地，省高校重点实验室特色植物开发研究实验室，参建“工业有机固体废物资源化处理”2011协同创新中心、四川省磷资源综合利用工程技术中心，建有巴文化研究院、川陕革命老区振兴发展研究院、高等教育研究所、秦巴文化产业研究院、智能制造产业技术研究院、国家城市污水处理及资源化工程技术研究中心川东分中心、油气田废水处理技术研发中心、巴山作家群研究院、书法艺术研究院等30余个科技创新平台；建有四川省社会科学高水平研究团队“四川革命老区生态文明建设研究团队”和四川省教育厅“秦巴文化研究传播创新团队”等22个科研团队。</w:t>
      </w:r>
    </w:p>
    <w:p>
      <w:pPr>
        <w:overflowPunct w:val="0"/>
        <w:autoSpaceDE w:val="0"/>
        <w:autoSpaceDN w:val="0"/>
        <w:adjustRightInd w:val="0"/>
        <w:snapToGrid w:val="0"/>
        <w:spacing w:line="560" w:lineRule="exact"/>
        <w:ind w:firstLine="640" w:firstLineChars="200"/>
        <w:rPr>
          <w:rFonts w:ascii="仿宋_GB2312" w:hAnsi="仿宋" w:eastAsia="仿宋_GB2312"/>
          <w:kern w:val="0"/>
          <w:sz w:val="32"/>
        </w:rPr>
      </w:pPr>
      <w:r>
        <w:rPr>
          <w:rFonts w:hint="eastAsia" w:ascii="仿宋_GB2312" w:hAnsi="仿宋" w:eastAsia="仿宋_GB2312"/>
          <w:kern w:val="0"/>
          <w:sz w:val="32"/>
        </w:rPr>
        <w:t>学校坚持以习近平新时代中国特色社会主义思想为指导，全面贯彻党和国家教育方针，遵循高等教育规律，秉承“博文大理，厚德笃行”的校训，弘扬“艰难困苦，玉汝于成”的办学精神，吸取古今优秀教育理念和中外教育改革最新成果，创新人才培养模式，立足川东，服务四川，面向全国，按照“三步走”发展战略和“1234”总体部署，全面落实立德树人根本任务，坚持内涵发展、转型发展、创新发展、特色发展，培养德智体美劳全面发展的高素质人才，努力把学校建成特色鲜明、优势突出的高水平应用型大学。</w:t>
      </w:r>
    </w:p>
    <w:p>
      <w:pPr>
        <w:spacing w:line="560" w:lineRule="exact"/>
        <w:ind w:firstLine="640" w:firstLineChars="200"/>
        <w:rPr>
          <w:rStyle w:val="18"/>
          <w:rFonts w:ascii="黑体" w:hAnsi="黑体" w:eastAsia="黑体"/>
          <w:b w:val="0"/>
          <w:bCs w:val="0"/>
        </w:rPr>
      </w:pPr>
      <w:bookmarkStart w:id="20" w:name="_Toc144135692"/>
      <w:r>
        <w:rPr>
          <w:rStyle w:val="18"/>
          <w:rFonts w:hint="eastAsia" w:ascii="黑体" w:hAnsi="黑体" w:eastAsia="黑体"/>
          <w:b w:val="0"/>
          <w:bCs w:val="0"/>
        </w:rPr>
        <w:t>二、机构设置</w:t>
      </w:r>
      <w:bookmarkEnd w:id="20"/>
    </w:p>
    <w:p>
      <w:pPr>
        <w:overflowPunct w:val="0"/>
        <w:autoSpaceDE w:val="0"/>
        <w:autoSpaceDN w:val="0"/>
        <w:adjustRightInd w:val="0"/>
        <w:snapToGrid w:val="0"/>
        <w:spacing w:line="560" w:lineRule="exact"/>
        <w:ind w:firstLine="640" w:firstLineChars="200"/>
        <w:rPr>
          <w:rFonts w:ascii="仿宋_GB2312" w:hAnsi="仿宋" w:eastAsia="仿宋_GB2312"/>
          <w:kern w:val="0"/>
          <w:sz w:val="32"/>
          <w:szCs w:val="32"/>
        </w:rPr>
      </w:pPr>
      <w:r>
        <w:rPr>
          <w:rFonts w:hint="eastAsia" w:ascii="仿宋_GB2312" w:hAnsi="仿宋" w:eastAsia="仿宋_GB2312"/>
          <w:kern w:val="0"/>
          <w:sz w:val="32"/>
          <w:szCs w:val="32"/>
        </w:rPr>
        <w:t>我校现设文学与传播学院、马克思主义学院、政法学院、外国语学院、教师教育学院、财经管理学院、数学学院、智能制造学院、化学化工学院、建筑工程学院、生态旅游学院、音乐与演艺学院、美术学院、体育学院、康养产业学院、中华传统文化学院等19个二级学院，开设57个本科专业、7个专科专业，涵盖文学、理学、工学、教育学、艺术学、管理学、历史学、法学、经济学、医学十大学科门类。</w:t>
      </w:r>
    </w:p>
    <w:p>
      <w:pPr>
        <w:rPr>
          <w:rFonts w:ascii="仿宋_GB2312" w:eastAsia="仿宋_GB2312"/>
          <w:kern w:val="0"/>
          <w:sz w:val="32"/>
        </w:rPr>
      </w:pPr>
    </w:p>
    <w:bookmarkEnd w:id="18"/>
    <w:bookmarkEnd w:id="19"/>
    <w:p>
      <w:pPr>
        <w:jc w:val="center"/>
        <w:rPr>
          <w:rStyle w:val="17"/>
          <w:rFonts w:ascii="方正小标宋_GBK" w:hAnsi="黑体" w:eastAsia="方正小标宋_GBK"/>
          <w:b w:val="0"/>
          <w:bCs w:val="0"/>
        </w:rPr>
      </w:pPr>
      <w:bookmarkStart w:id="21" w:name="_Toc15396602"/>
      <w:bookmarkStart w:id="22" w:name="_Toc144135693"/>
      <w:bookmarkStart w:id="23" w:name="_Toc15377204"/>
      <w:r>
        <w:rPr>
          <w:rStyle w:val="17"/>
          <w:rFonts w:hint="eastAsia" w:ascii="方正小标宋_GBK" w:hAnsi="黑体" w:eastAsia="方正小标宋_GBK"/>
          <w:b w:val="0"/>
          <w:bCs w:val="0"/>
        </w:rPr>
        <w:t>第二部分 2022年度单位决算情况说明</w:t>
      </w:r>
      <w:bookmarkEnd w:id="21"/>
      <w:bookmarkEnd w:id="22"/>
      <w:bookmarkEnd w:id="23"/>
    </w:p>
    <w:p>
      <w:pPr>
        <w:ind w:firstLine="640" w:firstLineChars="200"/>
        <w:rPr>
          <w:rStyle w:val="18"/>
          <w:rFonts w:ascii="黑体" w:hAnsi="黑体" w:eastAsia="黑体"/>
          <w:b w:val="0"/>
          <w:bCs w:val="0"/>
        </w:rPr>
      </w:pPr>
      <w:bookmarkStart w:id="24" w:name="_Toc144135694"/>
      <w:bookmarkStart w:id="25" w:name="_Toc15396603"/>
      <w:bookmarkStart w:id="26" w:name="_Toc15377205"/>
      <w:r>
        <w:rPr>
          <w:rStyle w:val="18"/>
          <w:rFonts w:hint="eastAsia" w:ascii="黑体" w:hAnsi="黑体" w:eastAsia="黑体"/>
          <w:b w:val="0"/>
          <w:bCs w:val="0"/>
        </w:rPr>
        <w:t>一、收入支出决算总体情况说明</w:t>
      </w:r>
      <w:bookmarkEnd w:id="24"/>
      <w:bookmarkEnd w:id="25"/>
      <w:bookmarkEnd w:id="26"/>
    </w:p>
    <w:p>
      <w:pPr>
        <w:ind w:firstLine="640" w:firstLineChars="200"/>
        <w:rPr>
          <w:rFonts w:ascii="仿宋_GB2312" w:hAnsi="仿宋" w:eastAsia="仿宋_GB2312"/>
          <w:kern w:val="0"/>
          <w:sz w:val="32"/>
        </w:rPr>
      </w:pPr>
      <w:r>
        <w:rPr>
          <w:rFonts w:hint="eastAsia" w:ascii="仿宋_GB2312" w:hAnsi="仿宋" w:eastAsia="仿宋_GB2312"/>
          <w:kern w:val="0"/>
          <w:sz w:val="32"/>
        </w:rPr>
        <w:t>2022年我校收入决算总额为47209.16万元，</w:t>
      </w:r>
      <w:r>
        <w:rPr>
          <w:rFonts w:hint="eastAsia" w:ascii="仿宋_GB2312" w:hAnsi="仿宋" w:eastAsia="仿宋_GB2312"/>
          <w:sz w:val="32"/>
          <w:szCs w:val="32"/>
        </w:rPr>
        <w:t>支出决算总额为46547.80万元。与2021年相比，收入增加663.97万元，增长16.37%；支出增加8449.86万元，增长22.18%。主要变动原因</w:t>
      </w:r>
      <w:r>
        <w:rPr>
          <w:rFonts w:hint="eastAsia" w:ascii="仿宋_GB2312" w:hAnsi="仿宋" w:eastAsia="仿宋_GB2312"/>
          <w:kern w:val="0"/>
          <w:sz w:val="32"/>
        </w:rPr>
        <w:t>财政拨款收入增加、达州市政府资金投入；在建理工实验楼、新增南区食堂等基建项目支出。</w:t>
      </w:r>
    </w:p>
    <w:p>
      <w:pPr>
        <w:spacing w:line="600" w:lineRule="exact"/>
        <w:ind w:firstLine="640" w:firstLineChars="200"/>
        <w:jc w:val="center"/>
        <w:rPr>
          <w:rFonts w:ascii="仿宋_GB2312" w:hAnsi="仿宋" w:eastAsia="仿宋_GB2312"/>
          <w:sz w:val="32"/>
          <w:szCs w:val="32"/>
        </w:rPr>
      </w:pPr>
      <w:r>
        <w:rPr>
          <w:rFonts w:hint="eastAsia" w:ascii="仿宋_GB2312" w:hAnsi="仿宋" w:eastAsia="仿宋_GB2312"/>
          <w:sz w:val="32"/>
          <w:szCs w:val="32"/>
        </w:rPr>
        <w:t>图1：收、支决算总计变动情况图</w:t>
      </w:r>
    </w:p>
    <w:p>
      <w:pPr>
        <w:pStyle w:val="2"/>
        <w:spacing w:before="93"/>
        <w:jc w:val="center"/>
      </w:pPr>
      <w:r>
        <w:rPr>
          <w:rFonts w:hint="eastAsia"/>
        </w:rPr>
        <w:drawing>
          <wp:inline distT="0" distB="0" distL="0" distR="0">
            <wp:extent cx="4945380" cy="2870200"/>
            <wp:effectExtent l="0" t="0" r="26670" b="2540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ind w:firstLine="640" w:firstLineChars="200"/>
        <w:rPr>
          <w:rStyle w:val="18"/>
          <w:rFonts w:ascii="黑体" w:hAnsi="黑体" w:eastAsia="黑体"/>
          <w:b w:val="0"/>
          <w:bCs w:val="0"/>
        </w:rPr>
      </w:pPr>
      <w:bookmarkStart w:id="27" w:name="_Toc15377206"/>
      <w:bookmarkStart w:id="28" w:name="_Toc144135695"/>
      <w:bookmarkStart w:id="29" w:name="_Toc15396604"/>
      <w:r>
        <w:rPr>
          <w:rStyle w:val="18"/>
          <w:rFonts w:hint="eastAsia" w:ascii="黑体" w:hAnsi="黑体" w:eastAsia="黑体"/>
          <w:b w:val="0"/>
          <w:bCs w:val="0"/>
        </w:rPr>
        <w:t>二、收入决算情况说明</w:t>
      </w:r>
      <w:bookmarkEnd w:id="27"/>
      <w:bookmarkEnd w:id="28"/>
      <w:bookmarkEnd w:id="29"/>
    </w:p>
    <w:p>
      <w:pPr>
        <w:spacing w:line="600" w:lineRule="exact"/>
        <w:ind w:firstLine="640" w:firstLineChars="200"/>
        <w:outlineLvl w:val="1"/>
        <w:rPr>
          <w:rFonts w:ascii="仿宋_GB2312" w:hAnsi="仿宋" w:eastAsia="仿宋_GB2312"/>
          <w:sz w:val="32"/>
          <w:szCs w:val="32"/>
        </w:rPr>
      </w:pPr>
      <w:bookmarkStart w:id="30" w:name="_Toc144135696"/>
      <w:r>
        <w:rPr>
          <w:rFonts w:hint="eastAsia" w:ascii="仿宋_GB2312" w:hAnsi="仿宋" w:eastAsia="仿宋_GB2312"/>
          <w:sz w:val="32"/>
          <w:szCs w:val="32"/>
        </w:rPr>
        <w:t>2022年本年收入合计47209.16万元，其中一般公共预算财政拨款收入33063.91万元，占70.04%；事业收入11621.06万元，占24.62%；其他收入2765.16万元，占5.86%；年初结转和结余-240.97万元，占-0.52%。</w:t>
      </w:r>
      <w:bookmarkEnd w:id="30"/>
    </w:p>
    <w:p>
      <w:pPr>
        <w:pStyle w:val="2"/>
        <w:spacing w:before="93"/>
        <w:jc w:val="center"/>
        <w:rPr>
          <w:rFonts w:hAnsi="仿宋"/>
          <w:sz w:val="32"/>
          <w:szCs w:val="32"/>
        </w:rPr>
      </w:pPr>
      <w:r>
        <w:rPr>
          <w:rFonts w:hint="eastAsia" w:hAnsi="仿宋"/>
          <w:sz w:val="32"/>
          <w:szCs w:val="32"/>
        </w:rPr>
        <w:t>图2：收入决算结构图</w:t>
      </w:r>
    </w:p>
    <w:p>
      <w:pPr>
        <w:pStyle w:val="2"/>
        <w:spacing w:before="93"/>
        <w:jc w:val="center"/>
        <w:rPr>
          <w:rFonts w:ascii="仿宋" w:hAnsi="仿宋" w:eastAsia="仿宋"/>
          <w:sz w:val="32"/>
          <w:szCs w:val="32"/>
        </w:rPr>
      </w:pPr>
      <w:r>
        <w:rPr>
          <w:rFonts w:hint="eastAsia"/>
        </w:rPr>
        <w:drawing>
          <wp:inline distT="0" distB="0" distL="0" distR="0">
            <wp:extent cx="4818380" cy="2838450"/>
            <wp:effectExtent l="0" t="0" r="20320" b="1905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spacing w:line="520" w:lineRule="exact"/>
        <w:ind w:firstLine="640" w:firstLineChars="200"/>
        <w:rPr>
          <w:rStyle w:val="18"/>
          <w:rFonts w:ascii="黑体" w:hAnsi="黑体" w:eastAsia="黑体"/>
          <w:b w:val="0"/>
          <w:bCs w:val="0"/>
        </w:rPr>
      </w:pPr>
      <w:bookmarkStart w:id="31" w:name="_Toc15396605"/>
      <w:bookmarkStart w:id="32" w:name="_Toc15377207"/>
      <w:bookmarkStart w:id="33" w:name="_Toc144135697"/>
      <w:r>
        <w:rPr>
          <w:rStyle w:val="18"/>
          <w:rFonts w:hint="eastAsia" w:ascii="黑体" w:hAnsi="黑体" w:eastAsia="黑体"/>
          <w:b w:val="0"/>
          <w:bCs w:val="0"/>
        </w:rPr>
        <w:t>三、支出决算情况说明</w:t>
      </w:r>
      <w:bookmarkEnd w:id="31"/>
      <w:bookmarkEnd w:id="32"/>
      <w:bookmarkEnd w:id="33"/>
    </w:p>
    <w:p>
      <w:pPr>
        <w:spacing w:line="520" w:lineRule="exact"/>
        <w:ind w:firstLine="640" w:firstLineChars="200"/>
        <w:rPr>
          <w:rFonts w:ascii="仿宋_GB2312" w:hAnsi="仿宋" w:eastAsia="仿宋_GB2312"/>
          <w:sz w:val="32"/>
          <w:szCs w:val="32"/>
        </w:rPr>
      </w:pPr>
      <w:bookmarkStart w:id="34" w:name="_Toc144135698"/>
      <w:r>
        <w:rPr>
          <w:rFonts w:hint="eastAsia" w:ascii="仿宋_GB2312" w:hAnsi="仿宋" w:eastAsia="仿宋_GB2312"/>
          <w:sz w:val="32"/>
          <w:szCs w:val="32"/>
        </w:rPr>
        <w:t>2022年本年支出合计46547.80万元，其中：基本支出24479.23万元，占52.59%；项目支出22068.57万元，占47.41%。</w:t>
      </w:r>
      <w:bookmarkEnd w:id="34"/>
    </w:p>
    <w:p>
      <w:pPr>
        <w:pStyle w:val="2"/>
        <w:spacing w:beforeLines="0" w:line="560" w:lineRule="exact"/>
        <w:ind w:firstLine="200"/>
        <w:jc w:val="center"/>
      </w:pPr>
      <w:r>
        <w:rPr>
          <w:rFonts w:hint="eastAsia" w:hAnsi="仿宋"/>
          <w:sz w:val="32"/>
          <w:szCs w:val="32"/>
        </w:rPr>
        <w:t>图3：支出决算结构图</w:t>
      </w:r>
    </w:p>
    <w:p>
      <w:pPr>
        <w:pStyle w:val="2"/>
        <w:spacing w:before="93"/>
        <w:jc w:val="center"/>
      </w:pPr>
      <w:r>
        <w:rPr>
          <w:rFonts w:hint="eastAsia" w:ascii="仿宋" w:hAnsi="仿宋" w:eastAsia="仿宋"/>
          <w:b/>
          <w:sz w:val="32"/>
          <w:szCs w:val="32"/>
        </w:rPr>
        <w:drawing>
          <wp:inline distT="0" distB="0" distL="0" distR="0">
            <wp:extent cx="4818380" cy="2352675"/>
            <wp:effectExtent l="0" t="0" r="1270" b="952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pacing w:line="520" w:lineRule="exact"/>
        <w:ind w:firstLine="640" w:firstLineChars="200"/>
        <w:rPr>
          <w:rStyle w:val="18"/>
          <w:rFonts w:ascii="黑体" w:hAnsi="黑体" w:eastAsia="黑体"/>
          <w:b w:val="0"/>
          <w:bCs w:val="0"/>
        </w:rPr>
      </w:pPr>
      <w:bookmarkStart w:id="35" w:name="_Toc15396606"/>
      <w:bookmarkStart w:id="36" w:name="_Toc144135699"/>
      <w:bookmarkStart w:id="37" w:name="_Toc15377208"/>
      <w:r>
        <w:rPr>
          <w:rStyle w:val="18"/>
          <w:rFonts w:hint="eastAsia" w:ascii="黑体" w:hAnsi="黑体" w:eastAsia="黑体"/>
          <w:b w:val="0"/>
          <w:bCs w:val="0"/>
        </w:rPr>
        <w:t>四、财政拨款收入支出决算总体情况说明</w:t>
      </w:r>
      <w:bookmarkEnd w:id="35"/>
      <w:bookmarkEnd w:id="36"/>
      <w:bookmarkEnd w:id="37"/>
    </w:p>
    <w:p>
      <w:pPr>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2022年财政拨款收入总计33063.91万元，支出总计33063.91万元。与2021年相比，财政拨款收入增加3439.35万元、支出增加3439.35万元，增长11.61%。主要变动原因是财政项目资金增加。</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图4：财政拨款收、支决算总计变动情况</w:t>
      </w:r>
    </w:p>
    <w:p>
      <w:pPr>
        <w:pStyle w:val="2"/>
        <w:spacing w:before="93"/>
        <w:jc w:val="center"/>
      </w:pPr>
      <w:r>
        <w:rPr>
          <w:rFonts w:hint="eastAsia"/>
        </w:rPr>
        <w:drawing>
          <wp:inline distT="0" distB="0" distL="0" distR="0">
            <wp:extent cx="4810125" cy="2790825"/>
            <wp:effectExtent l="0" t="0" r="9525" b="952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spacing w:line="560" w:lineRule="exact"/>
        <w:ind w:firstLine="640" w:firstLineChars="200"/>
        <w:outlineLvl w:val="1"/>
        <w:rPr>
          <w:rStyle w:val="18"/>
          <w:rFonts w:ascii="黑体" w:hAnsi="黑体" w:eastAsia="黑体"/>
          <w:b w:val="0"/>
        </w:rPr>
      </w:pPr>
      <w:bookmarkStart w:id="38" w:name="_Toc15396607"/>
      <w:bookmarkStart w:id="39" w:name="_Toc144135700"/>
      <w:bookmarkStart w:id="40" w:name="_Toc15377209"/>
      <w:r>
        <w:rPr>
          <w:rFonts w:hint="eastAsia" w:ascii="黑体" w:hAnsi="黑体" w:eastAsia="黑体"/>
          <w:sz w:val="32"/>
          <w:szCs w:val="32"/>
        </w:rPr>
        <w:t>五、</w:t>
      </w:r>
      <w:r>
        <w:rPr>
          <w:rFonts w:hint="eastAsia" w:ascii="黑体" w:hAnsi="黑体" w:eastAsia="黑体"/>
          <w:b/>
          <w:sz w:val="32"/>
          <w:szCs w:val="32"/>
        </w:rPr>
        <w:t>一</w:t>
      </w:r>
      <w:r>
        <w:rPr>
          <w:rStyle w:val="18"/>
          <w:rFonts w:hint="eastAsia" w:ascii="黑体" w:hAnsi="黑体" w:eastAsia="黑体"/>
          <w:b w:val="0"/>
        </w:rPr>
        <w:t>般公共预算财政拨款支出决算情况说明</w:t>
      </w:r>
      <w:bookmarkEnd w:id="38"/>
      <w:bookmarkEnd w:id="39"/>
      <w:bookmarkEnd w:id="40"/>
    </w:p>
    <w:p>
      <w:pPr>
        <w:spacing w:line="560" w:lineRule="exact"/>
        <w:ind w:firstLine="640" w:firstLineChars="200"/>
        <w:rPr>
          <w:rFonts w:ascii="楷体_GB2312" w:hAnsi="仿宋" w:eastAsia="楷体_GB2312"/>
          <w:sz w:val="32"/>
          <w:szCs w:val="32"/>
        </w:rPr>
      </w:pPr>
      <w:bookmarkStart w:id="41" w:name="_Toc15377210"/>
      <w:bookmarkStart w:id="42" w:name="_Toc144135701"/>
      <w:r>
        <w:rPr>
          <w:rFonts w:hint="eastAsia" w:ascii="楷体_GB2312" w:hAnsi="仿宋" w:eastAsia="楷体_GB2312"/>
          <w:sz w:val="32"/>
          <w:szCs w:val="32"/>
        </w:rPr>
        <w:t>（一）一般公共预算财政拨款支出决算总体情况</w:t>
      </w:r>
      <w:bookmarkEnd w:id="41"/>
      <w:bookmarkEnd w:id="42"/>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2022年一般公共预算财政拨款支出33063.91万元，占本年支出合计的71.03%。与2021年相比，一般公共预算财政拨款支出增加3439.35万元，增长11.61%。主要变动原因是财政项目支出增加。</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图5：一般公共预算财政拨款支出决算变动情况</w:t>
      </w:r>
    </w:p>
    <w:p>
      <w:pPr>
        <w:pStyle w:val="2"/>
        <w:spacing w:before="93"/>
        <w:jc w:val="center"/>
      </w:pPr>
      <w:r>
        <w:rPr>
          <w:rFonts w:hint="eastAsia"/>
        </w:rPr>
        <w:drawing>
          <wp:inline distT="0" distB="0" distL="0" distR="0">
            <wp:extent cx="4881880" cy="2854325"/>
            <wp:effectExtent l="0" t="0" r="13970" b="2222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ind w:firstLine="640" w:firstLineChars="200"/>
        <w:rPr>
          <w:rFonts w:ascii="楷体_GB2312" w:hAnsi="仿宋" w:eastAsia="楷体_GB2312"/>
          <w:sz w:val="32"/>
          <w:szCs w:val="32"/>
        </w:rPr>
      </w:pPr>
      <w:bookmarkStart w:id="43" w:name="_Toc15377211"/>
      <w:bookmarkStart w:id="44" w:name="_Toc144135702"/>
      <w:r>
        <w:rPr>
          <w:rFonts w:hint="eastAsia" w:ascii="楷体_GB2312" w:hAnsi="仿宋" w:eastAsia="楷体_GB2312"/>
          <w:sz w:val="32"/>
          <w:szCs w:val="32"/>
        </w:rPr>
        <w:t>（二）一般公共预算财政拨款支出决算结构情况</w:t>
      </w:r>
      <w:bookmarkEnd w:id="43"/>
      <w:bookmarkEnd w:id="44"/>
    </w:p>
    <w:p>
      <w:pPr>
        <w:spacing w:line="600" w:lineRule="exact"/>
        <w:ind w:firstLine="640"/>
        <w:rPr>
          <w:rFonts w:ascii="仿宋_GB2312" w:hAnsi="仿宋" w:eastAsia="仿宋_GB2312"/>
          <w:sz w:val="32"/>
          <w:szCs w:val="32"/>
        </w:rPr>
      </w:pPr>
      <w:r>
        <w:rPr>
          <w:rFonts w:hint="eastAsia" w:ascii="仿宋_GB2312" w:hAnsi="仿宋" w:eastAsia="仿宋_GB2312"/>
          <w:sz w:val="32"/>
          <w:szCs w:val="32"/>
        </w:rPr>
        <w:t>2022年一般公共预算财政拨款支出33063.91万元，主要用于以下方面:教育支出32724.25万元，占98.97%；科学技术</w:t>
      </w:r>
      <w:r>
        <w:rPr>
          <w:rFonts w:hint="eastAsia" w:ascii="仿宋_GB2312" w:hAnsi="仿宋" w:eastAsia="仿宋_GB2312"/>
          <w:bCs/>
          <w:sz w:val="32"/>
          <w:szCs w:val="32"/>
        </w:rPr>
        <w:t>支出</w:t>
      </w:r>
      <w:r>
        <w:rPr>
          <w:rFonts w:hint="eastAsia" w:ascii="仿宋_GB2312" w:hAnsi="仿宋" w:eastAsia="仿宋_GB2312"/>
          <w:sz w:val="32"/>
          <w:szCs w:val="32"/>
        </w:rPr>
        <w:t>64.27万元，占0.19%；社会保障和就业</w:t>
      </w:r>
      <w:r>
        <w:rPr>
          <w:rFonts w:hint="eastAsia" w:ascii="仿宋_GB2312" w:hAnsi="仿宋" w:eastAsia="仿宋_GB2312"/>
          <w:bCs/>
          <w:sz w:val="32"/>
          <w:szCs w:val="32"/>
        </w:rPr>
        <w:t>支出</w:t>
      </w:r>
      <w:r>
        <w:rPr>
          <w:rFonts w:hint="eastAsia" w:ascii="仿宋_GB2312" w:hAnsi="仿宋" w:eastAsia="仿宋_GB2312"/>
          <w:sz w:val="32"/>
          <w:szCs w:val="32"/>
        </w:rPr>
        <w:t>5.14万元，占0.01%；</w:t>
      </w:r>
      <w:r>
        <w:rPr>
          <w:rFonts w:hint="eastAsia" w:ascii="仿宋_GB2312" w:hAnsi="仿宋" w:eastAsia="仿宋_GB2312"/>
          <w:bCs/>
          <w:sz w:val="32"/>
          <w:szCs w:val="32"/>
        </w:rPr>
        <w:t>债务利息支出270.00万元，占0.83%；</w:t>
      </w:r>
      <w:r>
        <w:rPr>
          <w:rFonts w:hint="eastAsia" w:ascii="仿宋_GB2312" w:hAnsi="仿宋" w:eastAsia="仿宋_GB2312"/>
          <w:sz w:val="32"/>
          <w:szCs w:val="32"/>
        </w:rPr>
        <w:t>一般公共服务</w:t>
      </w:r>
      <w:r>
        <w:rPr>
          <w:rFonts w:hint="eastAsia" w:ascii="仿宋_GB2312" w:hAnsi="仿宋" w:eastAsia="仿宋_GB2312"/>
          <w:bCs/>
          <w:sz w:val="32"/>
          <w:szCs w:val="32"/>
        </w:rPr>
        <w:t>支出</w:t>
      </w:r>
      <w:r>
        <w:rPr>
          <w:rFonts w:hint="eastAsia" w:ascii="仿宋_GB2312" w:hAnsi="仿宋" w:eastAsia="仿宋_GB2312"/>
          <w:sz w:val="32"/>
          <w:szCs w:val="32"/>
        </w:rPr>
        <w:t>0.25万元。</w:t>
      </w:r>
    </w:p>
    <w:p>
      <w:pPr>
        <w:spacing w:line="600" w:lineRule="exact"/>
        <w:jc w:val="center"/>
        <w:rPr>
          <w:rFonts w:ascii="仿宋_GB2312" w:hAnsi="仿宋" w:eastAsia="仿宋_GB2312"/>
          <w:sz w:val="32"/>
          <w:szCs w:val="32"/>
        </w:rPr>
      </w:pPr>
      <w:r>
        <w:rPr>
          <w:rFonts w:hint="eastAsia" w:ascii="仿宋_GB2312" w:hAnsi="仿宋" w:eastAsia="仿宋_GB2312"/>
          <w:sz w:val="32"/>
          <w:szCs w:val="32"/>
        </w:rPr>
        <w:t>图6：一般公共预算财政拨款支出决算结构</w:t>
      </w:r>
    </w:p>
    <w:p>
      <w:pPr>
        <w:pStyle w:val="2"/>
        <w:spacing w:before="93"/>
        <w:jc w:val="center"/>
      </w:pPr>
      <w:r>
        <w:drawing>
          <wp:inline distT="0" distB="0" distL="0" distR="0">
            <wp:extent cx="4516120" cy="2576195"/>
            <wp:effectExtent l="0" t="0" r="17780" b="1460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line="560" w:lineRule="exact"/>
        <w:ind w:firstLine="640" w:firstLineChars="200"/>
        <w:rPr>
          <w:rFonts w:ascii="楷体_GB2312" w:hAnsi="仿宋" w:eastAsia="楷体_GB2312"/>
          <w:sz w:val="32"/>
          <w:szCs w:val="32"/>
        </w:rPr>
      </w:pPr>
      <w:bookmarkStart w:id="45" w:name="_Toc144135703"/>
      <w:bookmarkStart w:id="46" w:name="_Toc15377212"/>
      <w:r>
        <w:rPr>
          <w:rFonts w:hint="eastAsia" w:ascii="楷体_GB2312" w:hAnsi="仿宋" w:eastAsia="楷体_GB2312"/>
          <w:sz w:val="32"/>
          <w:szCs w:val="32"/>
        </w:rPr>
        <w:t>（三）一般公共预算财政拨款支出决算具体情况</w:t>
      </w:r>
      <w:bookmarkEnd w:id="45"/>
      <w:bookmarkEnd w:id="46"/>
    </w:p>
    <w:p>
      <w:pPr>
        <w:spacing w:line="560" w:lineRule="exact"/>
        <w:ind w:firstLine="640" w:firstLineChars="200"/>
        <w:outlineLvl w:val="2"/>
        <w:rPr>
          <w:rFonts w:ascii="仿宋_GB2312" w:hAnsi="仿宋" w:eastAsia="仿宋_GB2312"/>
          <w:sz w:val="32"/>
          <w:szCs w:val="32"/>
        </w:rPr>
      </w:pPr>
      <w:bookmarkStart w:id="47" w:name="_Toc15377213"/>
      <w:bookmarkStart w:id="48" w:name="_Toc15378460"/>
      <w:bookmarkStart w:id="49" w:name="_Toc15377444"/>
      <w:bookmarkStart w:id="50" w:name="_Toc144135704"/>
      <w:r>
        <w:rPr>
          <w:rFonts w:hint="eastAsia" w:ascii="仿宋_GB2312" w:hAnsi="仿宋" w:eastAsia="仿宋_GB2312"/>
          <w:sz w:val="32"/>
          <w:szCs w:val="32"/>
        </w:rPr>
        <w:t>2022年一般公共预算支出决算数为33063.91万元，</w:t>
      </w:r>
      <w:r>
        <w:rPr>
          <w:rStyle w:val="14"/>
          <w:rFonts w:hint="eastAsia" w:ascii="仿宋_GB2312" w:hAnsi="仿宋" w:eastAsia="仿宋_GB2312"/>
          <w:b w:val="0"/>
          <w:bCs/>
          <w:sz w:val="32"/>
          <w:szCs w:val="32"/>
        </w:rPr>
        <w:t>完成预算100%。其中：</w:t>
      </w:r>
      <w:bookmarkEnd w:id="47"/>
      <w:bookmarkEnd w:id="48"/>
      <w:bookmarkEnd w:id="49"/>
      <w:bookmarkEnd w:id="50"/>
    </w:p>
    <w:p>
      <w:pPr>
        <w:spacing w:line="560" w:lineRule="exact"/>
        <w:ind w:firstLine="640" w:firstLineChars="200"/>
        <w:rPr>
          <w:rFonts w:ascii="仿宋_GB2312" w:hAnsi="仿宋" w:eastAsia="仿宋_GB2312"/>
          <w:sz w:val="32"/>
          <w:szCs w:val="32"/>
        </w:rPr>
      </w:pPr>
      <w:r>
        <w:rPr>
          <w:rStyle w:val="14"/>
          <w:rFonts w:hint="eastAsia" w:ascii="仿宋_GB2312" w:hAnsi="仿宋" w:eastAsia="仿宋_GB2312"/>
          <w:b w:val="0"/>
          <w:bCs/>
          <w:sz w:val="32"/>
          <w:szCs w:val="32"/>
        </w:rPr>
        <w:t>1.一般公共服务（类）</w:t>
      </w:r>
      <w:r>
        <w:rPr>
          <w:rStyle w:val="14"/>
          <w:rFonts w:hint="eastAsia" w:ascii="仿宋_GB2312" w:hAnsi="仿宋" w:eastAsia="仿宋_GB2312"/>
          <w:b w:val="0"/>
          <w:bCs/>
          <w:sz w:val="32"/>
          <w:szCs w:val="32"/>
          <w:lang w:eastAsia="zh-CN"/>
        </w:rPr>
        <w:t>其他一般公共服务支出</w:t>
      </w:r>
      <w:r>
        <w:rPr>
          <w:rStyle w:val="14"/>
          <w:rFonts w:hint="eastAsia" w:ascii="仿宋_GB2312" w:hAnsi="仿宋" w:eastAsia="仿宋_GB2312"/>
          <w:b w:val="0"/>
          <w:bCs/>
          <w:sz w:val="32"/>
          <w:szCs w:val="32"/>
        </w:rPr>
        <w:t>（款）</w:t>
      </w:r>
      <w:r>
        <w:rPr>
          <w:rStyle w:val="14"/>
          <w:rFonts w:hint="eastAsia" w:ascii="仿宋_GB2312" w:hAnsi="仿宋" w:eastAsia="仿宋_GB2312"/>
          <w:b w:val="0"/>
          <w:bCs/>
          <w:sz w:val="32"/>
          <w:szCs w:val="32"/>
          <w:lang w:eastAsia="zh-CN"/>
        </w:rPr>
        <w:t>其他一般公共服务支出</w:t>
      </w:r>
      <w:r>
        <w:rPr>
          <w:rStyle w:val="14"/>
          <w:rFonts w:hint="eastAsia" w:ascii="仿宋_GB2312" w:hAnsi="仿宋" w:eastAsia="仿宋_GB2312"/>
          <w:b w:val="0"/>
          <w:bCs/>
          <w:sz w:val="32"/>
          <w:szCs w:val="32"/>
        </w:rPr>
        <w:t>（项）:支出决算为0.25万元，完成预算100%。</w:t>
      </w:r>
    </w:p>
    <w:p>
      <w:pPr>
        <w:spacing w:line="560" w:lineRule="exact"/>
        <w:ind w:firstLine="640" w:firstLineChars="200"/>
        <w:rPr>
          <w:rFonts w:ascii="仿宋_GB2312" w:hAnsi="仿宋" w:eastAsia="仿宋_GB2312"/>
          <w:sz w:val="32"/>
          <w:szCs w:val="32"/>
        </w:rPr>
      </w:pPr>
      <w:r>
        <w:rPr>
          <w:rStyle w:val="14"/>
          <w:rFonts w:hint="eastAsia" w:ascii="仿宋_GB2312" w:hAnsi="仿宋" w:eastAsia="仿宋_GB2312"/>
          <w:b w:val="0"/>
          <w:bCs/>
          <w:sz w:val="32"/>
          <w:szCs w:val="32"/>
        </w:rPr>
        <w:t>2.教育（类）</w:t>
      </w:r>
      <w:r>
        <w:rPr>
          <w:rStyle w:val="14"/>
          <w:rFonts w:hint="eastAsia" w:ascii="仿宋_GB2312" w:hAnsi="仿宋" w:eastAsia="仿宋_GB2312"/>
          <w:b w:val="0"/>
          <w:bCs/>
          <w:sz w:val="32"/>
          <w:szCs w:val="32"/>
          <w:lang w:eastAsia="zh-CN"/>
        </w:rPr>
        <w:t>普通教育</w:t>
      </w:r>
      <w:r>
        <w:rPr>
          <w:rStyle w:val="14"/>
          <w:rFonts w:hint="eastAsia" w:ascii="仿宋_GB2312" w:hAnsi="仿宋" w:eastAsia="仿宋_GB2312"/>
          <w:b w:val="0"/>
          <w:bCs/>
          <w:sz w:val="32"/>
          <w:szCs w:val="32"/>
        </w:rPr>
        <w:t>（款）</w:t>
      </w:r>
      <w:r>
        <w:rPr>
          <w:rStyle w:val="14"/>
          <w:rFonts w:hint="eastAsia" w:ascii="仿宋_GB2312" w:hAnsi="仿宋" w:eastAsia="仿宋_GB2312"/>
          <w:b w:val="0"/>
          <w:bCs/>
          <w:sz w:val="32"/>
          <w:szCs w:val="32"/>
          <w:lang w:eastAsia="zh-CN"/>
        </w:rPr>
        <w:t>高等教育</w:t>
      </w:r>
      <w:r>
        <w:rPr>
          <w:rStyle w:val="14"/>
          <w:rFonts w:hint="eastAsia" w:ascii="仿宋_GB2312" w:hAnsi="仿宋" w:eastAsia="仿宋_GB2312"/>
          <w:b w:val="0"/>
          <w:bCs/>
          <w:sz w:val="32"/>
          <w:szCs w:val="32"/>
        </w:rPr>
        <w:t>（项）:支出决算为32724.25万元，完成预算100%。</w:t>
      </w:r>
    </w:p>
    <w:p>
      <w:pPr>
        <w:spacing w:line="560" w:lineRule="exact"/>
        <w:ind w:firstLine="640" w:firstLineChars="200"/>
        <w:rPr>
          <w:rStyle w:val="14"/>
          <w:rFonts w:ascii="仿宋_GB2312" w:hAnsi="仿宋" w:eastAsia="仿宋_GB2312"/>
          <w:b w:val="0"/>
          <w:bCs/>
          <w:sz w:val="32"/>
          <w:szCs w:val="32"/>
        </w:rPr>
      </w:pPr>
      <w:r>
        <w:rPr>
          <w:rStyle w:val="14"/>
          <w:rFonts w:hint="eastAsia" w:ascii="仿宋_GB2312" w:hAnsi="仿宋" w:eastAsia="仿宋_GB2312"/>
          <w:b w:val="0"/>
          <w:bCs/>
          <w:sz w:val="32"/>
          <w:szCs w:val="32"/>
        </w:rPr>
        <w:t>3.科学技术（类）</w:t>
      </w:r>
      <w:r>
        <w:rPr>
          <w:rStyle w:val="14"/>
          <w:rFonts w:hint="eastAsia" w:ascii="仿宋_GB2312" w:hAnsi="仿宋" w:eastAsia="仿宋_GB2312"/>
          <w:b w:val="0"/>
          <w:bCs/>
          <w:sz w:val="32"/>
          <w:szCs w:val="32"/>
          <w:lang w:eastAsia="zh-CN"/>
        </w:rPr>
        <w:t>基础研究</w:t>
      </w:r>
      <w:r>
        <w:rPr>
          <w:rStyle w:val="14"/>
          <w:rFonts w:hint="eastAsia" w:ascii="仿宋_GB2312" w:hAnsi="仿宋" w:eastAsia="仿宋_GB2312"/>
          <w:b w:val="0"/>
          <w:bCs/>
          <w:sz w:val="32"/>
          <w:szCs w:val="32"/>
        </w:rPr>
        <w:t>（款）</w:t>
      </w:r>
      <w:r>
        <w:rPr>
          <w:rStyle w:val="14"/>
          <w:rFonts w:hint="eastAsia" w:ascii="仿宋_GB2312" w:hAnsi="仿宋" w:eastAsia="仿宋_GB2312"/>
          <w:b w:val="0"/>
          <w:bCs/>
          <w:sz w:val="32"/>
          <w:szCs w:val="32"/>
          <w:lang w:eastAsia="zh-CN"/>
        </w:rPr>
        <w:t>专项基础科研</w:t>
      </w:r>
      <w:r>
        <w:rPr>
          <w:rStyle w:val="14"/>
          <w:rFonts w:hint="eastAsia" w:ascii="仿宋_GB2312" w:hAnsi="仿宋" w:eastAsia="仿宋_GB2312"/>
          <w:b w:val="0"/>
          <w:bCs/>
          <w:sz w:val="32"/>
          <w:szCs w:val="32"/>
        </w:rPr>
        <w:t>（项）:支出决算为13.81万元，完成预算100%。</w:t>
      </w:r>
    </w:p>
    <w:p>
      <w:pPr>
        <w:spacing w:line="560" w:lineRule="exact"/>
        <w:ind w:firstLine="640" w:firstLineChars="200"/>
        <w:rPr>
          <w:rStyle w:val="14"/>
          <w:rFonts w:ascii="仿宋_GB2312" w:hAnsi="仿宋" w:eastAsia="仿宋_GB2312"/>
          <w:b w:val="0"/>
          <w:bCs/>
          <w:sz w:val="32"/>
          <w:szCs w:val="32"/>
        </w:rPr>
      </w:pPr>
      <w:r>
        <w:rPr>
          <w:rStyle w:val="14"/>
          <w:rFonts w:hint="eastAsia" w:ascii="仿宋_GB2312" w:hAnsi="仿宋" w:eastAsia="仿宋_GB2312"/>
          <w:b w:val="0"/>
          <w:bCs/>
          <w:sz w:val="32"/>
          <w:szCs w:val="32"/>
        </w:rPr>
        <w:t>4.科学技术（类）</w:t>
      </w:r>
      <w:r>
        <w:rPr>
          <w:rStyle w:val="14"/>
          <w:rFonts w:hint="eastAsia" w:ascii="仿宋_GB2312" w:hAnsi="仿宋" w:eastAsia="仿宋_GB2312"/>
          <w:b w:val="0"/>
          <w:bCs/>
          <w:sz w:val="32"/>
          <w:szCs w:val="32"/>
          <w:lang w:eastAsia="zh-CN"/>
        </w:rPr>
        <w:t>科技条件与服务</w:t>
      </w:r>
      <w:r>
        <w:rPr>
          <w:rStyle w:val="14"/>
          <w:rFonts w:hint="eastAsia" w:ascii="仿宋_GB2312" w:hAnsi="仿宋" w:eastAsia="仿宋_GB2312"/>
          <w:b w:val="0"/>
          <w:bCs/>
          <w:sz w:val="32"/>
          <w:szCs w:val="32"/>
        </w:rPr>
        <w:t>（款）</w:t>
      </w:r>
      <w:r>
        <w:rPr>
          <w:rStyle w:val="14"/>
          <w:rFonts w:hint="eastAsia" w:ascii="仿宋_GB2312" w:hAnsi="仿宋" w:eastAsia="仿宋_GB2312"/>
          <w:b w:val="0"/>
          <w:bCs/>
          <w:sz w:val="32"/>
          <w:szCs w:val="32"/>
          <w:lang w:eastAsia="zh-CN"/>
        </w:rPr>
        <w:t>其他科技条件与服务支出</w:t>
      </w:r>
      <w:r>
        <w:rPr>
          <w:rStyle w:val="14"/>
          <w:rFonts w:hint="eastAsia" w:ascii="仿宋_GB2312" w:hAnsi="仿宋" w:eastAsia="仿宋_GB2312"/>
          <w:b w:val="0"/>
          <w:bCs/>
          <w:sz w:val="32"/>
          <w:szCs w:val="32"/>
        </w:rPr>
        <w:t>（项）:支出决算为0.66万元，完成预算100%。</w:t>
      </w:r>
    </w:p>
    <w:p>
      <w:pPr>
        <w:spacing w:line="560" w:lineRule="exact"/>
        <w:ind w:firstLine="640" w:firstLineChars="200"/>
        <w:rPr>
          <w:rStyle w:val="14"/>
          <w:rFonts w:ascii="仿宋_GB2312" w:hAnsi="仿宋" w:eastAsia="仿宋_GB2312"/>
          <w:b w:val="0"/>
          <w:bCs/>
          <w:sz w:val="32"/>
          <w:szCs w:val="32"/>
        </w:rPr>
      </w:pPr>
      <w:r>
        <w:rPr>
          <w:rStyle w:val="14"/>
          <w:rFonts w:hint="eastAsia" w:ascii="仿宋_GB2312" w:hAnsi="仿宋" w:eastAsia="仿宋_GB2312"/>
          <w:b w:val="0"/>
          <w:bCs/>
          <w:sz w:val="32"/>
          <w:szCs w:val="32"/>
        </w:rPr>
        <w:t>5.科学技术（类）</w:t>
      </w:r>
      <w:r>
        <w:rPr>
          <w:rStyle w:val="14"/>
          <w:rFonts w:hint="eastAsia" w:ascii="仿宋_GB2312" w:hAnsi="仿宋" w:eastAsia="仿宋_GB2312"/>
          <w:b w:val="0"/>
          <w:bCs/>
          <w:sz w:val="32"/>
          <w:szCs w:val="32"/>
          <w:lang w:eastAsia="zh-CN"/>
        </w:rPr>
        <w:t>科技重大项目</w:t>
      </w:r>
      <w:r>
        <w:rPr>
          <w:rStyle w:val="14"/>
          <w:rFonts w:hint="eastAsia" w:ascii="仿宋_GB2312" w:hAnsi="仿宋" w:eastAsia="仿宋_GB2312"/>
          <w:b w:val="0"/>
          <w:bCs/>
          <w:sz w:val="32"/>
          <w:szCs w:val="32"/>
        </w:rPr>
        <w:t>（款）</w:t>
      </w:r>
      <w:r>
        <w:rPr>
          <w:rStyle w:val="14"/>
          <w:rFonts w:hint="eastAsia" w:ascii="仿宋_GB2312" w:hAnsi="仿宋" w:eastAsia="仿宋_GB2312"/>
          <w:b w:val="0"/>
          <w:bCs/>
          <w:sz w:val="32"/>
          <w:szCs w:val="32"/>
          <w:lang w:eastAsia="zh-CN"/>
        </w:rPr>
        <w:t>重点研发计划</w:t>
      </w:r>
      <w:r>
        <w:rPr>
          <w:rStyle w:val="14"/>
          <w:rFonts w:hint="eastAsia" w:ascii="仿宋_GB2312" w:hAnsi="仿宋" w:eastAsia="仿宋_GB2312"/>
          <w:b w:val="0"/>
          <w:bCs/>
          <w:sz w:val="32"/>
          <w:szCs w:val="32"/>
        </w:rPr>
        <w:t>（项）:支出决算为2.85万元，完成预算100%。</w:t>
      </w:r>
    </w:p>
    <w:p>
      <w:pPr>
        <w:spacing w:line="560" w:lineRule="exact"/>
        <w:ind w:firstLine="640" w:firstLineChars="200"/>
        <w:rPr>
          <w:rFonts w:ascii="仿宋_GB2312" w:hAnsi="仿宋" w:eastAsia="仿宋_GB2312"/>
          <w:bCs/>
          <w:sz w:val="32"/>
          <w:szCs w:val="32"/>
        </w:rPr>
      </w:pPr>
      <w:r>
        <w:rPr>
          <w:rStyle w:val="14"/>
          <w:rFonts w:hint="eastAsia" w:ascii="仿宋_GB2312" w:hAnsi="仿宋" w:eastAsia="仿宋_GB2312"/>
          <w:b w:val="0"/>
          <w:bCs/>
          <w:sz w:val="32"/>
          <w:szCs w:val="32"/>
        </w:rPr>
        <w:t>6.科学技术（类）</w:t>
      </w:r>
      <w:r>
        <w:rPr>
          <w:rStyle w:val="14"/>
          <w:rFonts w:hint="eastAsia" w:ascii="仿宋_GB2312" w:hAnsi="仿宋" w:eastAsia="仿宋_GB2312"/>
          <w:b w:val="0"/>
          <w:bCs/>
          <w:sz w:val="32"/>
          <w:szCs w:val="32"/>
          <w:lang w:eastAsia="zh-CN"/>
        </w:rPr>
        <w:t>科技重大项目</w:t>
      </w:r>
      <w:r>
        <w:rPr>
          <w:rStyle w:val="14"/>
          <w:rFonts w:hint="eastAsia" w:ascii="仿宋_GB2312" w:hAnsi="仿宋" w:eastAsia="仿宋_GB2312"/>
          <w:b w:val="0"/>
          <w:bCs/>
          <w:sz w:val="32"/>
          <w:szCs w:val="32"/>
        </w:rPr>
        <w:t>（款）</w:t>
      </w:r>
      <w:r>
        <w:rPr>
          <w:rStyle w:val="14"/>
          <w:rFonts w:hint="eastAsia" w:ascii="仿宋_GB2312" w:hAnsi="仿宋" w:eastAsia="仿宋_GB2312"/>
          <w:b w:val="0"/>
          <w:bCs/>
          <w:sz w:val="32"/>
          <w:szCs w:val="32"/>
          <w:lang w:eastAsia="zh-CN"/>
        </w:rPr>
        <w:t>其他科技重大项目</w:t>
      </w:r>
      <w:r>
        <w:rPr>
          <w:rStyle w:val="14"/>
          <w:rFonts w:hint="eastAsia" w:ascii="仿宋_GB2312" w:hAnsi="仿宋" w:eastAsia="仿宋_GB2312"/>
          <w:b w:val="0"/>
          <w:bCs/>
          <w:sz w:val="32"/>
          <w:szCs w:val="32"/>
        </w:rPr>
        <w:t>（项）:支出决算为46.95万元，完成预算100%。</w:t>
      </w:r>
    </w:p>
    <w:p>
      <w:pPr>
        <w:spacing w:line="560" w:lineRule="exact"/>
        <w:ind w:firstLine="640" w:firstLineChars="200"/>
        <w:rPr>
          <w:rStyle w:val="14"/>
          <w:rFonts w:ascii="仿宋_GB2312" w:hAnsi="仿宋" w:eastAsia="仿宋_GB2312"/>
          <w:b w:val="0"/>
          <w:bCs/>
          <w:sz w:val="32"/>
          <w:szCs w:val="32"/>
        </w:rPr>
      </w:pPr>
      <w:r>
        <w:rPr>
          <w:rStyle w:val="14"/>
          <w:rFonts w:hint="eastAsia" w:ascii="仿宋_GB2312" w:hAnsi="仿宋" w:eastAsia="仿宋_GB2312"/>
          <w:b w:val="0"/>
          <w:bCs/>
          <w:sz w:val="32"/>
          <w:szCs w:val="32"/>
        </w:rPr>
        <w:t>7.社会保障和就业（类）</w:t>
      </w:r>
      <w:r>
        <w:rPr>
          <w:rStyle w:val="14"/>
          <w:rFonts w:hint="eastAsia" w:ascii="仿宋_GB2312" w:hAnsi="仿宋" w:eastAsia="仿宋_GB2312"/>
          <w:b w:val="0"/>
          <w:bCs/>
          <w:sz w:val="32"/>
          <w:szCs w:val="32"/>
          <w:lang w:eastAsia="zh-CN"/>
        </w:rPr>
        <w:t>行政事业单位养老支出</w:t>
      </w:r>
      <w:r>
        <w:rPr>
          <w:rStyle w:val="14"/>
          <w:rFonts w:hint="eastAsia" w:ascii="仿宋_GB2312" w:hAnsi="仿宋" w:eastAsia="仿宋_GB2312"/>
          <w:b w:val="0"/>
          <w:bCs/>
          <w:sz w:val="32"/>
          <w:szCs w:val="32"/>
        </w:rPr>
        <w:t>（款）</w:t>
      </w:r>
      <w:r>
        <w:rPr>
          <w:rStyle w:val="14"/>
          <w:rFonts w:hint="eastAsia" w:ascii="仿宋_GB2312" w:hAnsi="仿宋" w:eastAsia="仿宋_GB2312"/>
          <w:b w:val="0"/>
          <w:bCs/>
          <w:sz w:val="32"/>
          <w:szCs w:val="32"/>
          <w:lang w:eastAsia="zh-CN"/>
        </w:rPr>
        <w:t>事业单位离退休</w:t>
      </w:r>
      <w:r>
        <w:rPr>
          <w:rStyle w:val="14"/>
          <w:rFonts w:hint="eastAsia" w:ascii="仿宋_GB2312" w:hAnsi="仿宋" w:eastAsia="仿宋_GB2312"/>
          <w:b w:val="0"/>
          <w:bCs/>
          <w:sz w:val="32"/>
          <w:szCs w:val="32"/>
        </w:rPr>
        <w:t>（项）:支出决算为5.14万元，完成预算100%。</w:t>
      </w:r>
    </w:p>
    <w:p>
      <w:pPr>
        <w:spacing w:line="560" w:lineRule="exact"/>
        <w:ind w:firstLine="640" w:firstLineChars="200"/>
        <w:rPr>
          <w:rFonts w:ascii="仿宋_GB2312" w:hAnsi="仿宋" w:eastAsia="仿宋_GB2312"/>
          <w:sz w:val="32"/>
          <w:szCs w:val="32"/>
        </w:rPr>
      </w:pPr>
      <w:r>
        <w:rPr>
          <w:rStyle w:val="14"/>
          <w:rFonts w:hint="eastAsia" w:ascii="仿宋_GB2312" w:hAnsi="仿宋" w:eastAsia="仿宋_GB2312"/>
          <w:b w:val="0"/>
          <w:bCs/>
          <w:sz w:val="32"/>
          <w:szCs w:val="32"/>
        </w:rPr>
        <w:t>8.</w:t>
      </w:r>
      <w:r>
        <w:rPr>
          <w:rFonts w:hint="eastAsia" w:ascii="仿宋_GB2312" w:hAnsi="仿宋" w:eastAsia="仿宋_GB2312"/>
          <w:bCs/>
          <w:sz w:val="32"/>
          <w:szCs w:val="32"/>
        </w:rPr>
        <w:t>债务利息</w:t>
      </w:r>
      <w:r>
        <w:rPr>
          <w:rStyle w:val="14"/>
          <w:rFonts w:hint="eastAsia" w:ascii="仿宋_GB2312" w:hAnsi="仿宋" w:eastAsia="仿宋_GB2312"/>
          <w:b w:val="0"/>
          <w:bCs/>
          <w:sz w:val="32"/>
          <w:szCs w:val="32"/>
        </w:rPr>
        <w:t>（类）</w:t>
      </w:r>
      <w:r>
        <w:rPr>
          <w:rStyle w:val="14"/>
          <w:rFonts w:hint="eastAsia" w:ascii="仿宋_GB2312" w:hAnsi="仿宋" w:eastAsia="仿宋_GB2312"/>
          <w:b w:val="0"/>
          <w:bCs/>
          <w:sz w:val="32"/>
          <w:szCs w:val="32"/>
          <w:lang w:eastAsia="zh-CN"/>
        </w:rPr>
        <w:t>地方政府一般债务付息支出</w:t>
      </w:r>
      <w:r>
        <w:rPr>
          <w:rStyle w:val="14"/>
          <w:rFonts w:hint="eastAsia" w:ascii="仿宋_GB2312" w:hAnsi="仿宋" w:eastAsia="仿宋_GB2312"/>
          <w:b w:val="0"/>
          <w:bCs/>
          <w:sz w:val="32"/>
          <w:szCs w:val="32"/>
        </w:rPr>
        <w:t>（款）地方政府其他一般债务付息支出（项）:支出决算为270.00万元，完成预算100%。</w:t>
      </w:r>
    </w:p>
    <w:p>
      <w:pPr>
        <w:ind w:firstLine="643" w:firstLineChars="200"/>
        <w:rPr>
          <w:rStyle w:val="18"/>
          <w:rFonts w:ascii="黑体" w:hAnsi="黑体" w:eastAsia="黑体"/>
          <w:b w:val="0"/>
          <w:bCs w:val="0"/>
        </w:rPr>
      </w:pPr>
      <w:bookmarkStart w:id="51" w:name="_Toc15396608"/>
      <w:bookmarkStart w:id="52" w:name="_Toc15377214"/>
      <w:bookmarkStart w:id="53" w:name="_Toc144135705"/>
      <w:r>
        <w:rPr>
          <w:rFonts w:hint="eastAsia" w:ascii="黑体" w:hAnsi="黑体" w:eastAsia="黑体"/>
          <w:b/>
          <w:bCs/>
          <w:sz w:val="32"/>
          <w:szCs w:val="32"/>
        </w:rPr>
        <w:t>六、一</w:t>
      </w:r>
      <w:r>
        <w:rPr>
          <w:rStyle w:val="18"/>
          <w:rFonts w:hint="eastAsia" w:ascii="黑体" w:hAnsi="黑体" w:eastAsia="黑体"/>
          <w:b w:val="0"/>
          <w:bCs w:val="0"/>
        </w:rPr>
        <w:t>般公共预算财政拨款基本支出决算情况说明</w:t>
      </w:r>
      <w:bookmarkEnd w:id="51"/>
      <w:bookmarkEnd w:id="52"/>
      <w:bookmarkEnd w:id="53"/>
      <w:r>
        <w:rPr>
          <w:rStyle w:val="18"/>
          <w:rFonts w:ascii="黑体" w:hAnsi="黑体" w:eastAsia="黑体"/>
          <w:b w:val="0"/>
          <w:bCs w:val="0"/>
        </w:rPr>
        <w:tab/>
      </w:r>
    </w:p>
    <w:p>
      <w:pPr>
        <w:spacing w:line="560" w:lineRule="exact"/>
        <w:ind w:firstLine="645"/>
        <w:rPr>
          <w:rFonts w:ascii="仿宋_GB2312" w:hAnsi="仿宋" w:eastAsia="仿宋_GB2312"/>
          <w:sz w:val="32"/>
          <w:szCs w:val="32"/>
        </w:rPr>
      </w:pPr>
      <w:r>
        <w:rPr>
          <w:rFonts w:hint="eastAsia" w:ascii="仿宋_GB2312" w:hAnsi="仿宋" w:eastAsia="仿宋_GB2312"/>
          <w:sz w:val="32"/>
          <w:szCs w:val="32"/>
        </w:rPr>
        <w:t>2022年一般公共预算财政拨款基本支出16588.00万元，其中：</w:t>
      </w:r>
    </w:p>
    <w:p>
      <w:pPr>
        <w:spacing w:line="560" w:lineRule="exact"/>
        <w:ind w:firstLine="645"/>
        <w:rPr>
          <w:rFonts w:ascii="仿宋_GB2312" w:hAnsi="仿宋" w:eastAsia="仿宋_GB2312"/>
          <w:sz w:val="32"/>
          <w:szCs w:val="32"/>
        </w:rPr>
      </w:pPr>
      <w:r>
        <w:rPr>
          <w:rFonts w:hint="eastAsia" w:ascii="仿宋_GB2312" w:hAnsi="仿宋" w:eastAsia="仿宋_GB2312"/>
          <w:sz w:val="32"/>
          <w:szCs w:val="32"/>
        </w:rPr>
        <w:t>人员经费14218.28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仿宋_GB2312" w:hAnsi="仿宋" w:eastAsia="仿宋_GB2312"/>
          <w:sz w:val="32"/>
          <w:szCs w:val="32"/>
        </w:rPr>
        <w:br w:type="textWrapping"/>
      </w:r>
      <w:r>
        <w:rPr>
          <w:rFonts w:hint="eastAsia" w:ascii="仿宋_GB2312" w:hAnsi="仿宋" w:eastAsia="仿宋_GB2312"/>
          <w:sz w:val="32"/>
          <w:szCs w:val="32"/>
        </w:rPr>
        <w:t>　　公用经费2369.72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ind w:firstLine="640" w:firstLineChars="200"/>
        <w:rPr>
          <w:rStyle w:val="18"/>
          <w:rFonts w:ascii="黑体" w:hAnsi="黑体" w:eastAsia="黑体"/>
          <w:b w:val="0"/>
          <w:bCs w:val="0"/>
        </w:rPr>
      </w:pPr>
      <w:bookmarkStart w:id="54" w:name="_Toc15396609"/>
      <w:bookmarkStart w:id="55" w:name="_Toc15377215"/>
      <w:bookmarkStart w:id="56" w:name="_Toc144135706"/>
      <w:r>
        <w:rPr>
          <w:rStyle w:val="18"/>
          <w:rFonts w:hint="eastAsia" w:ascii="黑体" w:hAnsi="黑体" w:eastAsia="黑体"/>
          <w:b w:val="0"/>
          <w:bCs w:val="0"/>
        </w:rPr>
        <w:t>七、财政拨款“三公”经费支出决算情况说明</w:t>
      </w:r>
      <w:bookmarkEnd w:id="54"/>
      <w:bookmarkEnd w:id="55"/>
      <w:bookmarkEnd w:id="56"/>
    </w:p>
    <w:p>
      <w:pPr>
        <w:spacing w:line="560" w:lineRule="exact"/>
        <w:ind w:firstLine="640" w:firstLineChars="200"/>
        <w:rPr>
          <w:rFonts w:ascii="楷体_GB2312" w:eastAsia="楷体_GB2312"/>
          <w:bCs/>
          <w:sz w:val="32"/>
          <w:szCs w:val="32"/>
        </w:rPr>
      </w:pPr>
      <w:bookmarkStart w:id="57" w:name="_Toc15377216"/>
      <w:bookmarkStart w:id="58" w:name="_Toc144135707"/>
      <w:r>
        <w:rPr>
          <w:rFonts w:hint="eastAsia" w:ascii="楷体_GB2312" w:eastAsia="楷体_GB2312"/>
          <w:bCs/>
          <w:sz w:val="32"/>
          <w:szCs w:val="32"/>
        </w:rPr>
        <w:t>（一）“三公”经费财政拨款支出决算总体情况说明</w:t>
      </w:r>
      <w:bookmarkEnd w:id="57"/>
      <w:bookmarkEnd w:id="58"/>
    </w:p>
    <w:p>
      <w:pPr>
        <w:spacing w:line="560" w:lineRule="exact"/>
        <w:ind w:firstLine="640" w:firstLineChars="200"/>
        <w:rPr>
          <w:rFonts w:ascii="仿宋_GB2312" w:eastAsia="仿宋_GB2312"/>
          <w:bCs/>
          <w:sz w:val="32"/>
          <w:szCs w:val="32"/>
        </w:rPr>
      </w:pPr>
      <w:r>
        <w:rPr>
          <w:rFonts w:hint="eastAsia" w:ascii="仿宋_GB2312" w:eastAsia="仿宋_GB2312"/>
          <w:bCs/>
          <w:sz w:val="32"/>
          <w:szCs w:val="32"/>
        </w:rPr>
        <w:t>2022年“三公”经费财政拨款支出决算为19.93万元，完成预算100%，较上年减少8.07万元，下降28.82%。</w:t>
      </w:r>
      <w:bookmarkStart w:id="59" w:name="_Toc15377217"/>
    </w:p>
    <w:p>
      <w:pPr>
        <w:spacing w:line="560" w:lineRule="exact"/>
        <w:ind w:firstLine="640" w:firstLineChars="200"/>
        <w:rPr>
          <w:rFonts w:ascii="楷体_GB2312" w:eastAsia="楷体_GB2312"/>
          <w:bCs/>
          <w:sz w:val="32"/>
          <w:szCs w:val="32"/>
        </w:rPr>
      </w:pPr>
      <w:r>
        <w:rPr>
          <w:rFonts w:hint="eastAsia" w:ascii="楷体_GB2312" w:eastAsia="楷体_GB2312"/>
          <w:bCs/>
          <w:sz w:val="32"/>
          <w:szCs w:val="32"/>
        </w:rPr>
        <w:t>（二）“三公”经费财政拨款支出决算具体情况说明</w:t>
      </w:r>
      <w:bookmarkEnd w:id="59"/>
    </w:p>
    <w:p>
      <w:pPr>
        <w:spacing w:line="560" w:lineRule="exact"/>
        <w:ind w:firstLine="640" w:firstLineChars="200"/>
        <w:rPr>
          <w:rFonts w:ascii="仿宋_GB2312" w:eastAsia="仿宋_GB2312"/>
          <w:bCs/>
          <w:sz w:val="32"/>
          <w:szCs w:val="32"/>
        </w:rPr>
      </w:pPr>
      <w:r>
        <w:rPr>
          <w:rFonts w:hint="eastAsia" w:ascii="仿宋_GB2312" w:eastAsia="仿宋_GB2312"/>
          <w:bCs/>
          <w:sz w:val="32"/>
          <w:szCs w:val="32"/>
        </w:rPr>
        <w:t>2022年“三公”经费财政拨款支出决算中，无因公出国（境）费支出；公务用车购置及运行维护费支出决算14.92万元，占74.86%；公务接待费支出决算5.01万元，占25.14%。具体情况如下：</w:t>
      </w:r>
    </w:p>
    <w:p>
      <w:pPr>
        <w:pStyle w:val="2"/>
        <w:spacing w:before="93"/>
        <w:jc w:val="center"/>
        <w:rPr>
          <w:rFonts w:hAnsi="仿宋"/>
          <w:sz w:val="32"/>
          <w:szCs w:val="32"/>
        </w:rPr>
      </w:pPr>
      <w:r>
        <w:rPr>
          <w:rFonts w:hint="eastAsia" w:hAnsi="仿宋"/>
          <w:sz w:val="32"/>
          <w:szCs w:val="32"/>
        </w:rPr>
        <w:t>图7：“三公”经费财政拨款支出结构</w:t>
      </w:r>
    </w:p>
    <w:p>
      <w:pPr>
        <w:pStyle w:val="2"/>
        <w:spacing w:before="93"/>
        <w:jc w:val="center"/>
      </w:pPr>
      <w:r>
        <w:rPr>
          <w:rFonts w:hint="eastAsia"/>
        </w:rPr>
        <w:drawing>
          <wp:inline distT="0" distB="0" distL="0" distR="0">
            <wp:extent cx="4921250" cy="2846070"/>
            <wp:effectExtent l="0" t="0" r="12700" b="11430"/>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spacing w:line="600" w:lineRule="exact"/>
        <w:ind w:firstLine="640"/>
        <w:rPr>
          <w:rFonts w:ascii="仿宋_GB2312" w:hAnsi="仿宋" w:eastAsia="仿宋_GB2312"/>
          <w:sz w:val="32"/>
          <w:szCs w:val="32"/>
        </w:rPr>
      </w:pPr>
      <w:r>
        <w:rPr>
          <w:rFonts w:hint="eastAsia" w:ascii="仿宋_GB2312" w:hAnsi="仿宋" w:eastAsia="仿宋_GB2312"/>
          <w:sz w:val="32"/>
          <w:szCs w:val="32"/>
        </w:rPr>
        <w:t>1.公务用车购置及运行维护费支出14.92万元</w:t>
      </w:r>
      <w:r>
        <w:rPr>
          <w:rFonts w:hint="eastAsia" w:ascii="仿宋_GB2312" w:hAnsi="仿宋" w:eastAsia="仿宋_GB2312"/>
          <w:b/>
          <w:sz w:val="32"/>
          <w:szCs w:val="32"/>
        </w:rPr>
        <w:t>,</w:t>
      </w:r>
      <w:r>
        <w:rPr>
          <w:rStyle w:val="14"/>
          <w:rFonts w:hint="eastAsia" w:ascii="仿宋_GB2312" w:hAnsi="仿宋" w:eastAsia="仿宋_GB2312"/>
          <w:b w:val="0"/>
          <w:sz w:val="32"/>
          <w:szCs w:val="32"/>
        </w:rPr>
        <w:t>完成预算100%。</w:t>
      </w:r>
      <w:r>
        <w:rPr>
          <w:rFonts w:hint="eastAsia" w:ascii="仿宋_GB2312" w:hAnsi="仿宋" w:eastAsia="仿宋_GB2312"/>
          <w:sz w:val="32"/>
          <w:szCs w:val="32"/>
        </w:rPr>
        <w:t>公务用车购置及运行维护费支出决算比2021年减少5.08万元，下降25.39%。主要原因是车辆维修次数、金额较上年有所减少。其中：</w:t>
      </w:r>
    </w:p>
    <w:p>
      <w:pPr>
        <w:spacing w:line="600" w:lineRule="exact"/>
        <w:ind w:firstLine="640"/>
        <w:rPr>
          <w:rFonts w:ascii="仿宋_GB2312" w:hAnsi="仿宋" w:eastAsia="仿宋_GB2312"/>
          <w:sz w:val="32"/>
          <w:szCs w:val="32"/>
        </w:rPr>
      </w:pPr>
      <w:r>
        <w:rPr>
          <w:rFonts w:hint="eastAsia" w:ascii="仿宋_GB2312" w:hAnsi="仿宋" w:eastAsia="仿宋_GB2312"/>
          <w:sz w:val="32"/>
          <w:szCs w:val="32"/>
        </w:rPr>
        <w:t>公务用车运行维护费支出14.92万元。主要用于会议、活动等所需的公务用车燃料费、维修费、过路过桥费、保险费等支出。</w:t>
      </w:r>
    </w:p>
    <w:p>
      <w:pPr>
        <w:spacing w:line="600" w:lineRule="exact"/>
        <w:ind w:firstLine="640"/>
        <w:rPr>
          <w:rFonts w:ascii="仿宋_GB2312" w:hAnsi="仿宋" w:eastAsia="仿宋_GB2312"/>
          <w:sz w:val="32"/>
          <w:szCs w:val="32"/>
        </w:rPr>
      </w:pPr>
      <w:r>
        <w:rPr>
          <w:rFonts w:hint="eastAsia" w:ascii="仿宋_GB2312" w:hAnsi="仿宋" w:eastAsia="仿宋_GB2312"/>
          <w:sz w:val="32"/>
          <w:szCs w:val="32"/>
        </w:rPr>
        <w:t>2.公务接待费支出5.01万元，</w:t>
      </w:r>
      <w:r>
        <w:rPr>
          <w:rStyle w:val="14"/>
          <w:rFonts w:hint="eastAsia" w:ascii="仿宋_GB2312" w:hAnsi="仿宋" w:eastAsia="仿宋_GB2312"/>
          <w:b w:val="0"/>
          <w:bCs/>
          <w:sz w:val="32"/>
          <w:szCs w:val="32"/>
        </w:rPr>
        <w:t>完成预算100%。</w:t>
      </w:r>
      <w:r>
        <w:rPr>
          <w:rFonts w:hint="eastAsia" w:ascii="仿宋_GB2312" w:hAnsi="仿宋" w:eastAsia="仿宋_GB2312"/>
          <w:sz w:val="32"/>
          <w:szCs w:val="32"/>
        </w:rPr>
        <w:t>公务接待费支出决算比2021年减少2.99万元，下降37.39%。主要原因是去年承办第九届大学生艺术展演等大型活动。其中：</w:t>
      </w:r>
    </w:p>
    <w:p>
      <w:pPr>
        <w:spacing w:line="600" w:lineRule="exact"/>
        <w:ind w:firstLine="641"/>
        <w:rPr>
          <w:rFonts w:ascii="仿宋" w:hAnsi="仿宋" w:eastAsia="仿宋"/>
          <w:sz w:val="32"/>
          <w:szCs w:val="32"/>
        </w:rPr>
      </w:pPr>
      <w:r>
        <w:rPr>
          <w:rFonts w:hint="eastAsia" w:ascii="仿宋_GB2312" w:hAnsi="仿宋" w:eastAsia="仿宋_GB2312"/>
          <w:sz w:val="32"/>
          <w:szCs w:val="32"/>
        </w:rPr>
        <w:t>国内公务接待支出5.01万元，主要用于执行公务、开展业务活动开支的交通费、住宿费、用餐费等。国内公务接待62批次，447人次（不包括陪同人员），共计支出5.01万元，具体内容包括：接待省考试院巡视检查组王显春一行人来校巡视检查2022美术与设计类招生专业考试工作事宜开支款</w:t>
      </w:r>
      <w:r>
        <w:rPr>
          <w:rFonts w:hint="eastAsia" w:ascii="仿宋_GB2312" w:hAnsi="仿宋" w:eastAsia="仿宋_GB2312"/>
          <w:sz w:val="32"/>
          <w:szCs w:val="32"/>
          <w:lang w:val="en-US" w:eastAsia="zh-CN"/>
        </w:rPr>
        <w:t>1119元；接待四川省考试院一行人来校开展自学考试专业规范调研开支款1624元;接待安仁文化研究会一行来校学习开支款1004元；接待党校系统工作人员来校交流、洽谈开支款1894元；接待成都工业学院来校签订共建协议开支款1019元；接待四川师范大学王荣群等人到我校开展对口支援调研开支款1250元；接待省教育厅高校国资管理调研组一行开支款1629元；接待省教育厅高校实验室安全现场检查专家组一行开支款1646元；接待西华师范大学来校考察一行开支款1800元；接待西南科技大学数理学院张晖一行9人来校学科交流开支款1800元；接待乐山师范学院来校交流开支款1950元；</w:t>
      </w:r>
      <w:r>
        <w:rPr>
          <w:rFonts w:hint="eastAsia" w:ascii="仿宋_GB2312" w:hAnsi="仿宋" w:eastAsia="仿宋_GB2312"/>
          <w:sz w:val="32"/>
          <w:szCs w:val="32"/>
        </w:rPr>
        <w:t>接待四川省直部门定点帮扶万源市驻村工作队5278元</w:t>
      </w:r>
      <w:r>
        <w:rPr>
          <w:rFonts w:hint="eastAsia" w:ascii="仿宋_GB2312" w:hAnsi="仿宋" w:eastAsia="仿宋_GB2312"/>
          <w:sz w:val="32"/>
          <w:szCs w:val="32"/>
          <w:lang w:eastAsia="zh-CN"/>
        </w:rPr>
        <w:t>；接待中科院上海微系统研究所客人开支款</w:t>
      </w:r>
      <w:r>
        <w:rPr>
          <w:rFonts w:hint="eastAsia" w:ascii="仿宋_GB2312" w:hAnsi="仿宋" w:eastAsia="仿宋_GB2312"/>
          <w:sz w:val="32"/>
          <w:szCs w:val="32"/>
          <w:lang w:val="en-US" w:eastAsia="zh-CN"/>
        </w:rPr>
        <w:t>900元；接待四川省离退休人员工作处处长韩春蓉一行四人来校调研接待费1015元；接待宣汉职业中专学校张远彬一行来校史陈列馆交流学习开支款1510元；接待外国语学院返校校友侯立新等开支款1050元；接待教育厅评估组来校考察评估特色植物重点实验室开支款900元；接待攀枝花学院钟玉泉一行5人来校招生宣传事宜开支款880元</w:t>
      </w:r>
      <w:r>
        <w:rPr>
          <w:rFonts w:hint="eastAsia" w:ascii="仿宋_GB2312" w:hAnsi="仿宋" w:eastAsia="仿宋_GB2312"/>
          <w:sz w:val="32"/>
          <w:szCs w:val="32"/>
          <w:lang w:eastAsia="zh-CN"/>
        </w:rPr>
        <w:t>；</w:t>
      </w:r>
      <w:r>
        <w:rPr>
          <w:rFonts w:hint="eastAsia" w:ascii="仿宋_GB2312" w:hAnsi="仿宋" w:eastAsia="仿宋_GB2312"/>
          <w:sz w:val="32"/>
          <w:szCs w:val="32"/>
        </w:rPr>
        <w:t>接待职称评审专家1998元等单位交流开支费用。</w:t>
      </w:r>
      <w:bookmarkStart w:id="60" w:name="_Toc15396610"/>
      <w:bookmarkStart w:id="61" w:name="_Toc15377218"/>
    </w:p>
    <w:p>
      <w:pPr>
        <w:spacing w:line="600" w:lineRule="exact"/>
        <w:ind w:firstLine="641"/>
        <w:outlineLvl w:val="1"/>
        <w:rPr>
          <w:rStyle w:val="18"/>
          <w:rFonts w:ascii="黑体" w:hAnsi="黑体" w:eastAsia="黑体"/>
        </w:rPr>
      </w:pPr>
      <w:bookmarkStart w:id="62" w:name="_Toc144135708"/>
      <w:r>
        <w:rPr>
          <w:rFonts w:hint="eastAsia" w:ascii="黑体" w:eastAsia="黑体"/>
          <w:sz w:val="32"/>
          <w:szCs w:val="32"/>
        </w:rPr>
        <w:t>八、</w:t>
      </w:r>
      <w:r>
        <w:rPr>
          <w:rStyle w:val="18"/>
          <w:rFonts w:hint="eastAsia" w:ascii="黑体" w:hAnsi="黑体" w:eastAsia="黑体"/>
          <w:b w:val="0"/>
        </w:rPr>
        <w:t>政府性基金预算支出决算情况说明</w:t>
      </w:r>
      <w:bookmarkEnd w:id="60"/>
      <w:bookmarkEnd w:id="61"/>
      <w:bookmarkEnd w:id="62"/>
    </w:p>
    <w:p>
      <w:pPr>
        <w:spacing w:line="600" w:lineRule="exact"/>
        <w:ind w:firstLine="641"/>
        <w:rPr>
          <w:rFonts w:ascii="仿宋_GB2312" w:hAnsi="仿宋" w:eastAsia="仿宋_GB2312"/>
          <w:sz w:val="32"/>
          <w:szCs w:val="32"/>
        </w:rPr>
      </w:pPr>
      <w:r>
        <w:rPr>
          <w:rFonts w:hint="eastAsia" w:ascii="仿宋_GB2312" w:hAnsi="仿宋" w:eastAsia="仿宋_GB2312"/>
          <w:sz w:val="32"/>
          <w:szCs w:val="32"/>
        </w:rPr>
        <w:t>2022年无政府性基金预算财政拨款支出。</w:t>
      </w:r>
    </w:p>
    <w:p>
      <w:pPr>
        <w:numPr>
          <w:ilvl w:val="0"/>
          <w:numId w:val="1"/>
        </w:numPr>
        <w:spacing w:line="600" w:lineRule="exact"/>
        <w:ind w:firstLine="641"/>
        <w:outlineLvl w:val="1"/>
        <w:rPr>
          <w:rStyle w:val="18"/>
          <w:rFonts w:ascii="黑体" w:hAnsi="黑体" w:eastAsia="黑体"/>
          <w:b w:val="0"/>
        </w:rPr>
      </w:pPr>
      <w:bookmarkStart w:id="63" w:name="_Toc144135709"/>
      <w:bookmarkStart w:id="64" w:name="_Toc15377219"/>
      <w:bookmarkStart w:id="65" w:name="_Toc15396611"/>
      <w:r>
        <w:rPr>
          <w:rStyle w:val="18"/>
          <w:rFonts w:hint="eastAsia" w:ascii="黑体" w:hAnsi="黑体" w:eastAsia="黑体"/>
          <w:b w:val="0"/>
        </w:rPr>
        <w:t>国有资本经营预算支出决算情况说明</w:t>
      </w:r>
      <w:bookmarkEnd w:id="63"/>
      <w:bookmarkEnd w:id="64"/>
      <w:bookmarkEnd w:id="65"/>
    </w:p>
    <w:p>
      <w:pPr>
        <w:spacing w:line="600" w:lineRule="exact"/>
        <w:ind w:firstLine="641"/>
        <w:rPr>
          <w:rFonts w:ascii="仿宋_GB2312" w:hAnsi="仿宋" w:eastAsia="仿宋_GB2312"/>
          <w:sz w:val="32"/>
          <w:szCs w:val="32"/>
        </w:rPr>
      </w:pPr>
      <w:r>
        <w:rPr>
          <w:rFonts w:hint="eastAsia" w:ascii="仿宋_GB2312" w:hAnsi="仿宋" w:eastAsia="仿宋_GB2312"/>
          <w:sz w:val="32"/>
          <w:szCs w:val="32"/>
        </w:rPr>
        <w:t>2022年无国有资本经营预算财政拨款支出。</w:t>
      </w:r>
    </w:p>
    <w:p>
      <w:pPr>
        <w:numPr>
          <w:ilvl w:val="0"/>
          <w:numId w:val="1"/>
        </w:numPr>
        <w:spacing w:line="600" w:lineRule="exact"/>
        <w:ind w:firstLine="641"/>
        <w:outlineLvl w:val="1"/>
        <w:rPr>
          <w:rStyle w:val="18"/>
          <w:rFonts w:ascii="黑体" w:hAnsi="黑体" w:eastAsia="黑体"/>
          <w:b w:val="0"/>
        </w:rPr>
      </w:pPr>
      <w:bookmarkStart w:id="66" w:name="_Toc15396612"/>
      <w:bookmarkStart w:id="67" w:name="_Toc15377221"/>
      <w:bookmarkStart w:id="68" w:name="_Toc144135710"/>
      <w:r>
        <w:rPr>
          <w:rStyle w:val="18"/>
          <w:rFonts w:hint="eastAsia" w:ascii="黑体" w:hAnsi="黑体" w:eastAsia="黑体"/>
          <w:b w:val="0"/>
        </w:rPr>
        <w:t>其他重要事项的情况说明</w:t>
      </w:r>
      <w:bookmarkEnd w:id="66"/>
      <w:bookmarkEnd w:id="67"/>
      <w:bookmarkEnd w:id="68"/>
    </w:p>
    <w:p>
      <w:pPr>
        <w:spacing w:line="600" w:lineRule="exact"/>
        <w:ind w:firstLine="641"/>
        <w:outlineLvl w:val="2"/>
        <w:rPr>
          <w:rFonts w:ascii="仿宋_GB2312" w:hAnsi="仿宋" w:eastAsia="仿宋_GB2312"/>
          <w:bCs/>
          <w:sz w:val="32"/>
          <w:szCs w:val="32"/>
        </w:rPr>
      </w:pPr>
      <w:bookmarkStart w:id="69" w:name="_Toc144135711"/>
      <w:bookmarkStart w:id="70" w:name="_Toc15377222"/>
      <w:r>
        <w:rPr>
          <w:rFonts w:hint="eastAsia" w:ascii="仿宋_GB2312" w:hAnsi="仿宋" w:eastAsia="仿宋_GB2312"/>
          <w:bCs/>
          <w:sz w:val="32"/>
          <w:szCs w:val="32"/>
        </w:rPr>
        <w:t>（一）机关运行经费支出情况</w:t>
      </w:r>
      <w:bookmarkEnd w:id="69"/>
      <w:bookmarkEnd w:id="70"/>
    </w:p>
    <w:p>
      <w:pPr>
        <w:spacing w:line="600" w:lineRule="exact"/>
        <w:ind w:firstLine="641"/>
        <w:rPr>
          <w:rFonts w:ascii="仿宋_GB2312" w:hAnsi="仿宋" w:eastAsia="仿宋_GB2312"/>
          <w:sz w:val="32"/>
          <w:szCs w:val="32"/>
        </w:rPr>
      </w:pPr>
      <w:r>
        <w:rPr>
          <w:rFonts w:hint="eastAsia" w:ascii="仿宋_GB2312" w:hAnsi="仿宋" w:eastAsia="仿宋_GB2312"/>
          <w:sz w:val="32"/>
          <w:szCs w:val="32"/>
        </w:rPr>
        <w:t>2022年，无机关运行经费支出</w:t>
      </w:r>
    </w:p>
    <w:p>
      <w:pPr>
        <w:spacing w:line="600" w:lineRule="exact"/>
        <w:ind w:firstLine="641"/>
        <w:outlineLvl w:val="2"/>
        <w:rPr>
          <w:rFonts w:ascii="仿宋_GB2312" w:hAnsi="仿宋" w:eastAsia="仿宋_GB2312"/>
          <w:bCs/>
          <w:sz w:val="32"/>
          <w:szCs w:val="32"/>
        </w:rPr>
      </w:pPr>
      <w:bookmarkStart w:id="71" w:name="_Toc15377223"/>
      <w:bookmarkStart w:id="72" w:name="_Toc144135712"/>
      <w:r>
        <w:rPr>
          <w:rFonts w:hint="eastAsia" w:ascii="仿宋_GB2312" w:hAnsi="仿宋" w:eastAsia="仿宋_GB2312"/>
          <w:bCs/>
          <w:sz w:val="32"/>
          <w:szCs w:val="32"/>
        </w:rPr>
        <w:t>（二）政府采购支出情况</w:t>
      </w:r>
      <w:bookmarkEnd w:id="71"/>
      <w:bookmarkEnd w:id="72"/>
    </w:p>
    <w:p>
      <w:pPr>
        <w:spacing w:line="600" w:lineRule="exact"/>
        <w:ind w:firstLine="641"/>
        <w:rPr>
          <w:rFonts w:ascii="仿宋_GB2312" w:hAnsi="仿宋" w:eastAsia="仿宋_GB2312"/>
          <w:sz w:val="32"/>
          <w:szCs w:val="32"/>
        </w:rPr>
      </w:pPr>
      <w:r>
        <w:rPr>
          <w:rFonts w:hint="eastAsia" w:ascii="仿宋_GB2312" w:hAnsi="仿宋" w:eastAsia="仿宋_GB2312"/>
          <w:sz w:val="32"/>
          <w:szCs w:val="32"/>
        </w:rPr>
        <w:t>2022年，本单位政府采购支出总额1908.10万元，其中：政府采购货物支出1708.93万元、政府采购服务支出199.17万元。主要用于实验室建设、教学仪器购置等。政府采购合同总金额2533.99万元，授予中小企业合同金额2334.33万元，占政府采购支出总额的92.12%，其中：授予小微企业合同金额2267.04万元，占政府采购支出总额的89.47%。</w:t>
      </w:r>
    </w:p>
    <w:p>
      <w:pPr>
        <w:spacing w:line="600" w:lineRule="exact"/>
        <w:ind w:firstLine="641"/>
        <w:outlineLvl w:val="2"/>
        <w:rPr>
          <w:rFonts w:ascii="仿宋_GB2312" w:hAnsi="仿宋" w:eastAsia="仿宋_GB2312"/>
          <w:bCs/>
          <w:sz w:val="32"/>
          <w:szCs w:val="32"/>
        </w:rPr>
      </w:pPr>
      <w:bookmarkStart w:id="73" w:name="_Toc144135713"/>
      <w:bookmarkStart w:id="74" w:name="_Toc15377224"/>
      <w:r>
        <w:rPr>
          <w:rFonts w:hint="eastAsia" w:ascii="仿宋_GB2312" w:hAnsi="仿宋" w:eastAsia="仿宋_GB2312"/>
          <w:bCs/>
          <w:sz w:val="32"/>
          <w:szCs w:val="32"/>
        </w:rPr>
        <w:t>（三）国有资产占有使用情况</w:t>
      </w:r>
      <w:bookmarkEnd w:id="73"/>
      <w:bookmarkEnd w:id="74"/>
    </w:p>
    <w:p>
      <w:pPr>
        <w:autoSpaceDE w:val="0"/>
        <w:autoSpaceDN w:val="0"/>
        <w:adjustRightInd w:val="0"/>
        <w:spacing w:line="600" w:lineRule="exact"/>
        <w:ind w:firstLine="641"/>
        <w:jc w:val="left"/>
        <w:rPr>
          <w:rFonts w:ascii="仿宋_GB2312" w:hAnsi="仿宋" w:eastAsia="仿宋_GB2312"/>
          <w:sz w:val="32"/>
          <w:szCs w:val="32"/>
        </w:rPr>
      </w:pPr>
      <w:r>
        <w:rPr>
          <w:rFonts w:hint="eastAsia" w:ascii="仿宋_GB2312" w:hAnsi="仿宋" w:eastAsia="仿宋_GB2312"/>
          <w:sz w:val="32"/>
          <w:szCs w:val="32"/>
        </w:rPr>
        <w:t>截至2022年12月31日，共有车辆7辆，其中：应急保障用车1辆、其他用车6辆，其他用车主要是保障学生实习实践活动、科研活动、教职工上下班等工作的开展。无单价50万元以上通用设备，无单价100万元以上专用设备。</w:t>
      </w:r>
    </w:p>
    <w:p>
      <w:pPr>
        <w:spacing w:line="600" w:lineRule="exact"/>
        <w:ind w:firstLine="641"/>
        <w:outlineLvl w:val="2"/>
        <w:rPr>
          <w:rFonts w:ascii="仿宋_GB2312" w:hAnsi="仿宋" w:eastAsia="仿宋_GB2312"/>
          <w:bCs/>
          <w:sz w:val="32"/>
          <w:szCs w:val="32"/>
        </w:rPr>
      </w:pPr>
      <w:bookmarkStart w:id="75" w:name="_Toc144135714"/>
      <w:r>
        <w:rPr>
          <w:rFonts w:hint="eastAsia" w:ascii="仿宋_GB2312" w:hAnsi="仿宋" w:eastAsia="仿宋_GB2312"/>
          <w:bCs/>
          <w:sz w:val="32"/>
          <w:szCs w:val="32"/>
        </w:rPr>
        <w:t>（四）预算绩效管理情况</w:t>
      </w:r>
      <w:bookmarkEnd w:id="75"/>
    </w:p>
    <w:p>
      <w:pPr>
        <w:pStyle w:val="2"/>
        <w:spacing w:beforeLines="0" w:line="600" w:lineRule="exact"/>
        <w:ind w:firstLine="641"/>
        <w:rPr>
          <w:rFonts w:hAnsi="仿宋"/>
          <w:highlight w:val="yellow"/>
        </w:rPr>
      </w:pPr>
      <w:r>
        <w:rPr>
          <w:rFonts w:hint="eastAsia" w:hAnsi="仿宋" w:cs="仿宋_GB2312"/>
          <w:sz w:val="32"/>
          <w:szCs w:val="32"/>
        </w:rPr>
        <w:t>根据预算绩效管理要求，本单位在2022年度预算编制阶段，组织对工资性支出项目等</w:t>
      </w:r>
      <w:r>
        <w:rPr>
          <w:rFonts w:hint="eastAsia" w:hAnsi="仿宋" w:cs="仿宋_GB2312"/>
          <w:sz w:val="32"/>
          <w:szCs w:val="32"/>
          <w:lang w:val="en-US" w:eastAsia="zh-CN"/>
        </w:rPr>
        <w:t>31</w:t>
      </w:r>
      <w:r>
        <w:rPr>
          <w:rFonts w:hint="eastAsia" w:hAnsi="仿宋" w:cs="仿宋_GB2312"/>
          <w:sz w:val="32"/>
          <w:szCs w:val="32"/>
        </w:rPr>
        <w:t>个项目开展了预算事前绩效评估，对</w:t>
      </w:r>
      <w:r>
        <w:rPr>
          <w:rFonts w:hint="eastAsia" w:hAnsi="仿宋" w:cs="仿宋_GB2312"/>
          <w:sz w:val="32"/>
          <w:szCs w:val="32"/>
          <w:lang w:val="en-US" w:eastAsia="zh-CN"/>
        </w:rPr>
        <w:t>31</w:t>
      </w:r>
      <w:r>
        <w:rPr>
          <w:rFonts w:hint="eastAsia" w:hAnsi="仿宋" w:cs="仿宋_GB2312"/>
          <w:sz w:val="32"/>
          <w:szCs w:val="32"/>
        </w:rPr>
        <w:t>个项目编制了绩效目标，预算执行过程中，选取</w:t>
      </w:r>
      <w:r>
        <w:rPr>
          <w:rFonts w:hint="eastAsia" w:hAnsi="仿宋" w:cs="仿宋_GB2312"/>
          <w:sz w:val="32"/>
          <w:szCs w:val="32"/>
          <w:lang w:val="en-US" w:eastAsia="zh-CN"/>
        </w:rPr>
        <w:t>31</w:t>
      </w:r>
      <w:r>
        <w:rPr>
          <w:rFonts w:hint="eastAsia" w:hAnsi="仿宋" w:cs="仿宋_GB2312"/>
          <w:sz w:val="32"/>
          <w:szCs w:val="32"/>
        </w:rPr>
        <w:t>个项目开展绩效监控，组织对</w:t>
      </w:r>
      <w:r>
        <w:rPr>
          <w:rFonts w:hint="eastAsia" w:hAnsi="仿宋" w:cs="仿宋_GB2312"/>
          <w:sz w:val="32"/>
          <w:szCs w:val="32"/>
          <w:lang w:val="en-US" w:eastAsia="zh-CN"/>
        </w:rPr>
        <w:t>9</w:t>
      </w:r>
      <w:r>
        <w:rPr>
          <w:rFonts w:hint="eastAsia" w:hAnsi="仿宋" w:cs="仿宋_GB2312"/>
          <w:sz w:val="32"/>
          <w:szCs w:val="32"/>
        </w:rPr>
        <w:t>个项目开展绩效自评，绩效自评表详见第四部分附件。</w:t>
      </w:r>
    </w:p>
    <w:p>
      <w:pPr>
        <w:widowControl/>
        <w:jc w:val="left"/>
        <w:rPr>
          <w:rFonts w:ascii="仿宋" w:hAnsi="仿宋" w:eastAsia="仿宋"/>
          <w:b/>
          <w:sz w:val="32"/>
          <w:szCs w:val="32"/>
        </w:rPr>
      </w:pPr>
      <w:r>
        <w:rPr>
          <w:rFonts w:ascii="仿宋" w:hAnsi="仿宋" w:eastAsia="仿宋"/>
          <w:b/>
          <w:sz w:val="32"/>
          <w:szCs w:val="32"/>
        </w:rPr>
        <w:br w:type="page"/>
      </w:r>
    </w:p>
    <w:p>
      <w:pPr>
        <w:jc w:val="center"/>
        <w:rPr>
          <w:rFonts w:ascii="方正小标宋_GBK" w:eastAsia="方正小标宋_GBK"/>
          <w:bCs/>
          <w:sz w:val="44"/>
          <w:szCs w:val="44"/>
        </w:rPr>
      </w:pPr>
      <w:bookmarkStart w:id="76" w:name="_Toc15377225"/>
      <w:bookmarkStart w:id="77" w:name="_Toc15396613"/>
      <w:bookmarkStart w:id="78" w:name="_Toc144135715"/>
      <w:r>
        <w:rPr>
          <w:rFonts w:hint="eastAsia" w:ascii="方正小标宋_GBK" w:eastAsia="方正小标宋_GBK"/>
          <w:sz w:val="44"/>
          <w:szCs w:val="44"/>
        </w:rPr>
        <w:t>第三部分 名词解释</w:t>
      </w:r>
      <w:bookmarkEnd w:id="76"/>
      <w:bookmarkEnd w:id="77"/>
      <w:bookmarkEnd w:id="78"/>
    </w:p>
    <w:p>
      <w:pPr>
        <w:spacing w:line="600" w:lineRule="exact"/>
        <w:ind w:firstLine="640" w:firstLineChars="200"/>
        <w:rPr>
          <w:rFonts w:ascii="仿宋_GB2312" w:eastAsia="仿宋_GB2312"/>
          <w:sz w:val="32"/>
          <w:szCs w:val="32"/>
        </w:rPr>
      </w:pPr>
      <w:r>
        <w:rPr>
          <w:rFonts w:hint="eastAsia" w:ascii="仿宋_GB2312" w:eastAsia="仿宋_GB2312"/>
          <w:sz w:val="32"/>
          <w:szCs w:val="32"/>
        </w:rPr>
        <w:t>1.财政拨款收入：指单位从同级财政部门取得的财政预算资金。</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2.事业收入：指事业单位开展专业业务活动及辅助活动取得的收入。如科研收入、教育辅助服务等。</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3.经营收入：指事业单位在专业业务活动及其辅助活动之外开展非独立核算经营活动取得的收入。</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4.其他收入：指单位取得的除上述收入以外的各项收入。主要是</w:t>
      </w:r>
      <w:r>
        <w:rPr>
          <w:rFonts w:hint="eastAsia" w:ascii="仿宋_GB2312" w:eastAsia="仿宋_GB2312"/>
          <w:sz w:val="32"/>
          <w:szCs w:val="32"/>
          <w:lang w:eastAsia="zh-CN"/>
        </w:rPr>
        <w:t>捐赠收入、各类</w:t>
      </w:r>
      <w:r>
        <w:rPr>
          <w:rFonts w:hint="eastAsia" w:ascii="仿宋_GB2312" w:eastAsia="仿宋_GB2312"/>
          <w:sz w:val="32"/>
          <w:szCs w:val="32"/>
        </w:rPr>
        <w:t>赔款</w:t>
      </w:r>
      <w:r>
        <w:rPr>
          <w:rFonts w:hint="eastAsia" w:ascii="仿宋_GB2312" w:eastAsia="仿宋_GB2312"/>
          <w:sz w:val="32"/>
          <w:szCs w:val="32"/>
          <w:lang w:eastAsia="zh-CN"/>
        </w:rPr>
        <w:t>收入</w:t>
      </w:r>
      <w:r>
        <w:rPr>
          <w:rFonts w:hint="eastAsia" w:ascii="仿宋_GB2312" w:eastAsia="仿宋_GB2312"/>
          <w:sz w:val="32"/>
          <w:szCs w:val="32"/>
        </w:rPr>
        <w:t>等。</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5.使用非财政拨款结余：指事业单位使用以前年度积累的非财政拨款结余弥补当年收支差额的金额。</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6.年初结转和结余：指以前年度尚未完成、结转到本年按有关规定继续使用的资金。</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7.结余分配：指事业单位按照会计制度规定缴纳的所得税、提取的专用结余以及转入非财政拨款结余的金额等。</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8.年末结转和结余：指单位按有关规定结转到下年或以后年度继续使用的资金。</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9.</w:t>
      </w:r>
      <w:r>
        <w:rPr>
          <w:rStyle w:val="14"/>
          <w:rFonts w:hint="eastAsia" w:ascii="仿宋_GB2312" w:hAnsi="仿宋" w:eastAsia="仿宋_GB2312"/>
          <w:b w:val="0"/>
          <w:bCs/>
          <w:sz w:val="32"/>
          <w:szCs w:val="32"/>
        </w:rPr>
        <w:t>一般公共服务（类）</w:t>
      </w:r>
      <w:r>
        <w:rPr>
          <w:rStyle w:val="14"/>
          <w:rFonts w:hint="eastAsia" w:ascii="仿宋_GB2312" w:hAnsi="仿宋" w:eastAsia="仿宋_GB2312"/>
          <w:b w:val="0"/>
          <w:bCs/>
          <w:sz w:val="32"/>
          <w:szCs w:val="32"/>
          <w:lang w:eastAsia="zh-CN"/>
        </w:rPr>
        <w:t>其他一般公共服务支出</w:t>
      </w:r>
      <w:r>
        <w:rPr>
          <w:rStyle w:val="14"/>
          <w:rFonts w:hint="eastAsia" w:ascii="仿宋_GB2312" w:hAnsi="仿宋" w:eastAsia="仿宋_GB2312"/>
          <w:b w:val="0"/>
          <w:bCs/>
          <w:sz w:val="32"/>
          <w:szCs w:val="32"/>
        </w:rPr>
        <w:t>（款）</w:t>
      </w:r>
      <w:r>
        <w:rPr>
          <w:rStyle w:val="14"/>
          <w:rFonts w:hint="eastAsia" w:ascii="仿宋_GB2312" w:hAnsi="仿宋" w:eastAsia="仿宋_GB2312"/>
          <w:b w:val="0"/>
          <w:bCs/>
          <w:sz w:val="32"/>
          <w:szCs w:val="32"/>
          <w:lang w:eastAsia="zh-CN"/>
        </w:rPr>
        <w:t>其他一般公共服务支出</w:t>
      </w:r>
      <w:r>
        <w:rPr>
          <w:rStyle w:val="14"/>
          <w:rFonts w:hint="eastAsia" w:ascii="仿宋_GB2312" w:hAnsi="仿宋" w:eastAsia="仿宋_GB2312"/>
          <w:b w:val="0"/>
          <w:bCs/>
          <w:sz w:val="32"/>
          <w:szCs w:val="32"/>
        </w:rPr>
        <w:t>（项）</w:t>
      </w:r>
      <w:r>
        <w:rPr>
          <w:rFonts w:hint="eastAsia" w:ascii="仿宋_GB2312" w:eastAsia="仿宋_GB2312"/>
          <w:sz w:val="32"/>
          <w:szCs w:val="32"/>
        </w:rPr>
        <w:t>：指其他一般公共服务支出。</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10.</w:t>
      </w:r>
      <w:r>
        <w:rPr>
          <w:rStyle w:val="14"/>
          <w:rFonts w:hint="eastAsia" w:ascii="仿宋_GB2312" w:hAnsi="仿宋" w:eastAsia="仿宋_GB2312"/>
          <w:b w:val="0"/>
          <w:bCs/>
          <w:sz w:val="32"/>
          <w:szCs w:val="32"/>
        </w:rPr>
        <w:t>教育（类）</w:t>
      </w:r>
      <w:r>
        <w:rPr>
          <w:rStyle w:val="14"/>
          <w:rFonts w:hint="eastAsia" w:ascii="仿宋_GB2312" w:hAnsi="仿宋" w:eastAsia="仿宋_GB2312"/>
          <w:b w:val="0"/>
          <w:bCs/>
          <w:sz w:val="32"/>
          <w:szCs w:val="32"/>
          <w:lang w:eastAsia="zh-CN"/>
        </w:rPr>
        <w:t>普通教育</w:t>
      </w:r>
      <w:r>
        <w:rPr>
          <w:rStyle w:val="14"/>
          <w:rFonts w:hint="eastAsia" w:ascii="仿宋_GB2312" w:hAnsi="仿宋" w:eastAsia="仿宋_GB2312"/>
          <w:b w:val="0"/>
          <w:bCs/>
          <w:sz w:val="32"/>
          <w:szCs w:val="32"/>
        </w:rPr>
        <w:t>（款）</w:t>
      </w:r>
      <w:r>
        <w:rPr>
          <w:rStyle w:val="14"/>
          <w:rFonts w:hint="eastAsia" w:ascii="仿宋_GB2312" w:hAnsi="仿宋" w:eastAsia="仿宋_GB2312"/>
          <w:b w:val="0"/>
          <w:bCs/>
          <w:sz w:val="32"/>
          <w:szCs w:val="32"/>
          <w:lang w:eastAsia="zh-CN"/>
        </w:rPr>
        <w:t>高等教育</w:t>
      </w:r>
      <w:r>
        <w:rPr>
          <w:rStyle w:val="14"/>
          <w:rFonts w:hint="eastAsia" w:ascii="仿宋_GB2312" w:hAnsi="仿宋" w:eastAsia="仿宋_GB2312"/>
          <w:b w:val="0"/>
          <w:bCs/>
          <w:sz w:val="32"/>
          <w:szCs w:val="32"/>
        </w:rPr>
        <w:t>（项）</w:t>
      </w:r>
      <w:r>
        <w:rPr>
          <w:rFonts w:hint="eastAsia" w:ascii="仿宋_GB2312" w:eastAsia="仿宋_GB2312"/>
          <w:sz w:val="32"/>
          <w:szCs w:val="32"/>
        </w:rPr>
        <w:t>:反映经国家批准设立的中央和省、自治区、直辖市各部门所属的全日制普通高等院校（包括研究生）的支出。政府各部门对社会中介组织等举办的各类高等院校的资助，如捐赠、补贴等，也在本科目中区映。</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11.</w:t>
      </w:r>
      <w:r>
        <w:rPr>
          <w:rStyle w:val="14"/>
          <w:rFonts w:hint="eastAsia" w:ascii="仿宋_GB2312" w:hAnsi="仿宋" w:eastAsia="仿宋_GB2312"/>
          <w:b w:val="0"/>
          <w:bCs/>
          <w:sz w:val="32"/>
          <w:szCs w:val="32"/>
        </w:rPr>
        <w:t>科学技术（类）</w:t>
      </w:r>
      <w:r>
        <w:rPr>
          <w:rStyle w:val="14"/>
          <w:rFonts w:hint="eastAsia" w:ascii="仿宋_GB2312" w:hAnsi="仿宋" w:eastAsia="仿宋_GB2312"/>
          <w:b w:val="0"/>
          <w:bCs/>
          <w:sz w:val="32"/>
          <w:szCs w:val="32"/>
          <w:lang w:eastAsia="zh-CN"/>
        </w:rPr>
        <w:t>基础研究</w:t>
      </w:r>
      <w:r>
        <w:rPr>
          <w:rStyle w:val="14"/>
          <w:rFonts w:hint="eastAsia" w:ascii="仿宋_GB2312" w:hAnsi="仿宋" w:eastAsia="仿宋_GB2312"/>
          <w:b w:val="0"/>
          <w:bCs/>
          <w:sz w:val="32"/>
          <w:szCs w:val="32"/>
        </w:rPr>
        <w:t>（款）</w:t>
      </w:r>
      <w:r>
        <w:rPr>
          <w:rStyle w:val="14"/>
          <w:rFonts w:hint="eastAsia" w:ascii="仿宋_GB2312" w:hAnsi="仿宋" w:eastAsia="仿宋_GB2312"/>
          <w:b w:val="0"/>
          <w:bCs/>
          <w:sz w:val="32"/>
          <w:szCs w:val="32"/>
          <w:lang w:eastAsia="zh-CN"/>
        </w:rPr>
        <w:t>专项基础科研</w:t>
      </w:r>
      <w:r>
        <w:rPr>
          <w:rStyle w:val="14"/>
          <w:rFonts w:hint="eastAsia" w:ascii="仿宋_GB2312" w:hAnsi="仿宋" w:eastAsia="仿宋_GB2312"/>
          <w:b w:val="0"/>
          <w:bCs/>
          <w:sz w:val="32"/>
          <w:szCs w:val="32"/>
        </w:rPr>
        <w:t>（项）</w:t>
      </w:r>
      <w:r>
        <w:rPr>
          <w:rFonts w:hint="eastAsia" w:ascii="仿宋_GB2312" w:eastAsia="仿宋_GB2312"/>
          <w:sz w:val="32"/>
          <w:szCs w:val="32"/>
        </w:rPr>
        <w:t>:反映用于专项基础科研方面的支出。</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12.</w:t>
      </w:r>
      <w:r>
        <w:rPr>
          <w:rStyle w:val="14"/>
          <w:rFonts w:hint="eastAsia" w:ascii="仿宋_GB2312" w:hAnsi="仿宋" w:eastAsia="仿宋_GB2312"/>
          <w:b w:val="0"/>
          <w:bCs/>
          <w:sz w:val="32"/>
          <w:szCs w:val="32"/>
        </w:rPr>
        <w:t>科学技术（类）</w:t>
      </w:r>
      <w:r>
        <w:rPr>
          <w:rStyle w:val="14"/>
          <w:rFonts w:hint="eastAsia" w:ascii="仿宋_GB2312" w:hAnsi="仿宋" w:eastAsia="仿宋_GB2312"/>
          <w:b w:val="0"/>
          <w:bCs/>
          <w:sz w:val="32"/>
          <w:szCs w:val="32"/>
          <w:lang w:eastAsia="zh-CN"/>
        </w:rPr>
        <w:t>科技条件与服务</w:t>
      </w:r>
      <w:r>
        <w:rPr>
          <w:rStyle w:val="14"/>
          <w:rFonts w:hint="eastAsia" w:ascii="仿宋_GB2312" w:hAnsi="仿宋" w:eastAsia="仿宋_GB2312"/>
          <w:b w:val="0"/>
          <w:bCs/>
          <w:sz w:val="32"/>
          <w:szCs w:val="32"/>
        </w:rPr>
        <w:t>（款）</w:t>
      </w:r>
      <w:r>
        <w:rPr>
          <w:rStyle w:val="14"/>
          <w:rFonts w:hint="eastAsia" w:ascii="仿宋_GB2312" w:hAnsi="仿宋" w:eastAsia="仿宋_GB2312"/>
          <w:b w:val="0"/>
          <w:bCs/>
          <w:sz w:val="32"/>
          <w:szCs w:val="32"/>
          <w:lang w:eastAsia="zh-CN"/>
        </w:rPr>
        <w:t>其他科技条件与服务支出</w:t>
      </w:r>
      <w:r>
        <w:rPr>
          <w:rStyle w:val="14"/>
          <w:rFonts w:hint="eastAsia" w:ascii="仿宋_GB2312" w:hAnsi="仿宋" w:eastAsia="仿宋_GB2312"/>
          <w:b w:val="0"/>
          <w:bCs/>
          <w:sz w:val="32"/>
          <w:szCs w:val="32"/>
        </w:rPr>
        <w:t>（项）</w:t>
      </w:r>
      <w:r>
        <w:rPr>
          <w:rFonts w:hint="eastAsia" w:ascii="仿宋_GB2312" w:eastAsia="仿宋_GB2312"/>
          <w:sz w:val="32"/>
          <w:szCs w:val="32"/>
        </w:rPr>
        <w:t>:反映用于其他用于科技条件与服务方面的支出。</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13.</w:t>
      </w:r>
      <w:r>
        <w:rPr>
          <w:rStyle w:val="14"/>
          <w:rFonts w:hint="eastAsia" w:ascii="仿宋_GB2312" w:hAnsi="仿宋" w:eastAsia="仿宋_GB2312"/>
          <w:b w:val="0"/>
          <w:bCs/>
          <w:sz w:val="32"/>
          <w:szCs w:val="32"/>
        </w:rPr>
        <w:t>科学技术（类）</w:t>
      </w:r>
      <w:r>
        <w:rPr>
          <w:rStyle w:val="14"/>
          <w:rFonts w:hint="eastAsia" w:ascii="仿宋_GB2312" w:hAnsi="仿宋" w:eastAsia="仿宋_GB2312"/>
          <w:b w:val="0"/>
          <w:bCs/>
          <w:sz w:val="32"/>
          <w:szCs w:val="32"/>
          <w:lang w:eastAsia="zh-CN"/>
        </w:rPr>
        <w:t>科技重大项目</w:t>
      </w:r>
      <w:r>
        <w:rPr>
          <w:rStyle w:val="14"/>
          <w:rFonts w:hint="eastAsia" w:ascii="仿宋_GB2312" w:hAnsi="仿宋" w:eastAsia="仿宋_GB2312"/>
          <w:b w:val="0"/>
          <w:bCs/>
          <w:sz w:val="32"/>
          <w:szCs w:val="32"/>
        </w:rPr>
        <w:t>（款）</w:t>
      </w:r>
      <w:r>
        <w:rPr>
          <w:rStyle w:val="14"/>
          <w:rFonts w:hint="eastAsia" w:ascii="仿宋_GB2312" w:hAnsi="仿宋" w:eastAsia="仿宋_GB2312"/>
          <w:b w:val="0"/>
          <w:bCs/>
          <w:sz w:val="32"/>
          <w:szCs w:val="32"/>
          <w:lang w:eastAsia="zh-CN"/>
        </w:rPr>
        <w:t>重点研发计划</w:t>
      </w:r>
      <w:r>
        <w:rPr>
          <w:rStyle w:val="14"/>
          <w:rFonts w:hint="eastAsia" w:ascii="仿宋_GB2312" w:hAnsi="仿宋" w:eastAsia="仿宋_GB2312"/>
          <w:b w:val="0"/>
          <w:bCs/>
          <w:sz w:val="32"/>
          <w:szCs w:val="32"/>
        </w:rPr>
        <w:t>（项）</w:t>
      </w:r>
      <w:r>
        <w:rPr>
          <w:rFonts w:hint="eastAsia" w:ascii="仿宋_GB2312" w:eastAsia="仿宋_GB2312"/>
          <w:sz w:val="32"/>
          <w:szCs w:val="32"/>
        </w:rPr>
        <w:t>:反映用于重点研发计划的有关经费支出。</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14.</w:t>
      </w:r>
      <w:r>
        <w:rPr>
          <w:rStyle w:val="14"/>
          <w:rFonts w:hint="eastAsia" w:ascii="仿宋_GB2312" w:hAnsi="仿宋" w:eastAsia="仿宋_GB2312"/>
          <w:b w:val="0"/>
          <w:bCs/>
          <w:sz w:val="32"/>
          <w:szCs w:val="32"/>
        </w:rPr>
        <w:t>科学技术（类）</w:t>
      </w:r>
      <w:r>
        <w:rPr>
          <w:rStyle w:val="14"/>
          <w:rFonts w:hint="eastAsia" w:ascii="仿宋_GB2312" w:hAnsi="仿宋" w:eastAsia="仿宋_GB2312"/>
          <w:b w:val="0"/>
          <w:bCs/>
          <w:sz w:val="32"/>
          <w:szCs w:val="32"/>
          <w:lang w:eastAsia="zh-CN"/>
        </w:rPr>
        <w:t>科技重大项目</w:t>
      </w:r>
      <w:r>
        <w:rPr>
          <w:rStyle w:val="14"/>
          <w:rFonts w:hint="eastAsia" w:ascii="仿宋_GB2312" w:hAnsi="仿宋" w:eastAsia="仿宋_GB2312"/>
          <w:b w:val="0"/>
          <w:bCs/>
          <w:sz w:val="32"/>
          <w:szCs w:val="32"/>
        </w:rPr>
        <w:t>（款）</w:t>
      </w:r>
      <w:r>
        <w:rPr>
          <w:rStyle w:val="14"/>
          <w:rFonts w:hint="eastAsia" w:ascii="仿宋_GB2312" w:hAnsi="仿宋" w:eastAsia="仿宋_GB2312"/>
          <w:b w:val="0"/>
          <w:bCs/>
          <w:sz w:val="32"/>
          <w:szCs w:val="32"/>
          <w:lang w:eastAsia="zh-CN"/>
        </w:rPr>
        <w:t>其他科技重大项目</w:t>
      </w:r>
      <w:r>
        <w:rPr>
          <w:rStyle w:val="14"/>
          <w:rFonts w:hint="eastAsia" w:ascii="仿宋_GB2312" w:hAnsi="仿宋" w:eastAsia="仿宋_GB2312"/>
          <w:b w:val="0"/>
          <w:bCs/>
          <w:sz w:val="32"/>
          <w:szCs w:val="32"/>
        </w:rPr>
        <w:t>（项）</w:t>
      </w:r>
      <w:r>
        <w:rPr>
          <w:rFonts w:hint="eastAsia" w:ascii="仿宋_GB2312" w:eastAsia="仿宋_GB2312"/>
          <w:sz w:val="32"/>
          <w:szCs w:val="32"/>
        </w:rPr>
        <w:t>:反映用于其他科技重大项目的经费支出。</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15.</w:t>
      </w:r>
      <w:r>
        <w:rPr>
          <w:rStyle w:val="14"/>
          <w:rFonts w:hint="eastAsia" w:ascii="仿宋_GB2312" w:hAnsi="仿宋" w:eastAsia="仿宋_GB2312"/>
          <w:b w:val="0"/>
          <w:bCs/>
          <w:sz w:val="32"/>
          <w:szCs w:val="32"/>
        </w:rPr>
        <w:t>社会保障和就业（类）</w:t>
      </w:r>
      <w:r>
        <w:rPr>
          <w:rStyle w:val="14"/>
          <w:rFonts w:hint="eastAsia" w:ascii="仿宋_GB2312" w:hAnsi="仿宋" w:eastAsia="仿宋_GB2312"/>
          <w:b w:val="0"/>
          <w:bCs/>
          <w:sz w:val="32"/>
          <w:szCs w:val="32"/>
          <w:lang w:eastAsia="zh-CN"/>
        </w:rPr>
        <w:t>行政事业单位养老支出</w:t>
      </w:r>
      <w:r>
        <w:rPr>
          <w:rStyle w:val="14"/>
          <w:rFonts w:hint="eastAsia" w:ascii="仿宋_GB2312" w:hAnsi="仿宋" w:eastAsia="仿宋_GB2312"/>
          <w:b w:val="0"/>
          <w:bCs/>
          <w:sz w:val="32"/>
          <w:szCs w:val="32"/>
        </w:rPr>
        <w:t>（款）</w:t>
      </w:r>
      <w:r>
        <w:rPr>
          <w:rStyle w:val="14"/>
          <w:rFonts w:hint="eastAsia" w:ascii="仿宋_GB2312" w:hAnsi="仿宋" w:eastAsia="仿宋_GB2312"/>
          <w:b w:val="0"/>
          <w:bCs/>
          <w:sz w:val="32"/>
          <w:szCs w:val="32"/>
          <w:lang w:eastAsia="zh-CN"/>
        </w:rPr>
        <w:t>事业单位离退休</w:t>
      </w:r>
      <w:r>
        <w:rPr>
          <w:rStyle w:val="14"/>
          <w:rFonts w:hint="eastAsia" w:ascii="仿宋_GB2312" w:hAnsi="仿宋" w:eastAsia="仿宋_GB2312"/>
          <w:b w:val="0"/>
          <w:bCs/>
          <w:sz w:val="32"/>
          <w:szCs w:val="32"/>
        </w:rPr>
        <w:t>（项）</w:t>
      </w:r>
      <w:r>
        <w:rPr>
          <w:rFonts w:hint="eastAsia" w:ascii="仿宋_GB2312" w:eastAsia="仿宋_GB2312"/>
          <w:sz w:val="32"/>
          <w:szCs w:val="32"/>
        </w:rPr>
        <w:t>:反映事业单位开支的离退休经费。</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16.</w:t>
      </w:r>
      <w:r>
        <w:rPr>
          <w:rFonts w:hint="eastAsia" w:ascii="仿宋_GB2312" w:hAnsi="仿宋" w:eastAsia="仿宋_GB2312"/>
          <w:bCs/>
          <w:sz w:val="32"/>
          <w:szCs w:val="32"/>
        </w:rPr>
        <w:t>债务利息</w:t>
      </w:r>
      <w:r>
        <w:rPr>
          <w:rStyle w:val="14"/>
          <w:rFonts w:hint="eastAsia" w:ascii="仿宋_GB2312" w:hAnsi="仿宋" w:eastAsia="仿宋_GB2312"/>
          <w:b w:val="0"/>
          <w:bCs/>
          <w:sz w:val="32"/>
          <w:szCs w:val="32"/>
        </w:rPr>
        <w:t>（类）</w:t>
      </w:r>
      <w:r>
        <w:rPr>
          <w:rStyle w:val="14"/>
          <w:rFonts w:hint="eastAsia" w:ascii="仿宋_GB2312" w:hAnsi="仿宋" w:eastAsia="仿宋_GB2312"/>
          <w:b w:val="0"/>
          <w:bCs/>
          <w:sz w:val="32"/>
          <w:szCs w:val="32"/>
          <w:lang w:eastAsia="zh-CN"/>
        </w:rPr>
        <w:t>地方政府一般债务付息支出</w:t>
      </w:r>
      <w:r>
        <w:rPr>
          <w:rStyle w:val="14"/>
          <w:rFonts w:hint="eastAsia" w:ascii="仿宋_GB2312" w:hAnsi="仿宋" w:eastAsia="仿宋_GB2312"/>
          <w:b w:val="0"/>
          <w:bCs/>
          <w:sz w:val="32"/>
          <w:szCs w:val="32"/>
        </w:rPr>
        <w:t>（款）地方政府其他一般债务付息支出（项）</w:t>
      </w:r>
      <w:r>
        <w:rPr>
          <w:rFonts w:hint="eastAsia" w:ascii="仿宋_GB2312" w:eastAsia="仿宋_GB2312"/>
          <w:sz w:val="32"/>
          <w:szCs w:val="32"/>
        </w:rPr>
        <w:t>:反映其他地方政府一般债务付息支出。</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17.基本支出：指为保障机构正常运转、完成日常工作任务而发生的人员支出和公用支出。</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18.项目支出：指在基本支出之外为完成特定行政任务和事业发展目标所发生的支出。</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19.“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3"/>
        <w:jc w:val="center"/>
        <w:rPr>
          <w:rFonts w:hint="eastAsia"/>
          <w:bCs w:val="0"/>
        </w:rPr>
      </w:pPr>
      <w:bookmarkStart w:id="79" w:name="_Toc15377226"/>
      <w:r>
        <w:rPr>
          <w:rFonts w:hint="eastAsia" w:ascii="仿宋_GB2312" w:hAnsi="仿宋" w:eastAsia="仿宋_GB2312"/>
          <w:b w:val="0"/>
        </w:rPr>
        <w:br w:type="page"/>
      </w:r>
      <w:bookmarkStart w:id="80" w:name="_Toc15396614"/>
      <w:bookmarkStart w:id="81" w:name="_Toc144135716"/>
      <w:r>
        <w:rPr>
          <w:rFonts w:hint="eastAsia" w:ascii="方正小标宋_GBK" w:eastAsia="方正小标宋_GBK"/>
          <w:b w:val="0"/>
          <w:bCs w:val="0"/>
          <w:kern w:val="2"/>
        </w:rPr>
        <w:t>第四部分 附件</w:t>
      </w:r>
      <w:bookmarkEnd w:id="80"/>
      <w:bookmarkEnd w:id="81"/>
    </w:p>
    <w:tbl>
      <w:tblPr>
        <w:tblStyle w:val="12"/>
        <w:tblW w:w="9920" w:type="dxa"/>
        <w:jc w:val="center"/>
        <w:tblLayout w:type="autofit"/>
        <w:tblCellMar>
          <w:top w:w="0" w:type="dxa"/>
          <w:left w:w="108" w:type="dxa"/>
          <w:bottom w:w="0" w:type="dxa"/>
          <w:right w:w="108" w:type="dxa"/>
        </w:tblCellMar>
      </w:tblPr>
      <w:tblGrid>
        <w:gridCol w:w="576"/>
        <w:gridCol w:w="1049"/>
        <w:gridCol w:w="1238"/>
        <w:gridCol w:w="1793"/>
        <w:gridCol w:w="545"/>
        <w:gridCol w:w="846"/>
        <w:gridCol w:w="756"/>
        <w:gridCol w:w="991"/>
        <w:gridCol w:w="576"/>
        <w:gridCol w:w="576"/>
        <w:gridCol w:w="974"/>
      </w:tblGrid>
      <w:tr>
        <w:tblPrEx>
          <w:tblCellMar>
            <w:top w:w="0" w:type="dxa"/>
            <w:left w:w="108" w:type="dxa"/>
            <w:bottom w:w="0" w:type="dxa"/>
            <w:right w:w="108" w:type="dxa"/>
          </w:tblCellMar>
        </w:tblPrEx>
        <w:trPr>
          <w:trHeight w:val="540" w:hRule="atLeast"/>
          <w:jc w:val="center"/>
        </w:trPr>
        <w:tc>
          <w:tcPr>
            <w:tcW w:w="99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黑体" w:hAnsi="黑体" w:eastAsia="黑体" w:cs="宋体"/>
                <w:b/>
                <w:bCs/>
                <w:color w:val="000000"/>
                <w:kern w:val="0"/>
                <w:sz w:val="30"/>
                <w:szCs w:val="30"/>
              </w:rPr>
            </w:pPr>
            <w:r>
              <w:rPr>
                <w:rFonts w:hint="eastAsia" w:ascii="黑体" w:hAnsi="黑体" w:eastAsia="黑体" w:cs="宋体"/>
                <w:b/>
                <w:bCs/>
                <w:color w:val="000000"/>
                <w:kern w:val="0"/>
                <w:sz w:val="30"/>
                <w:szCs w:val="30"/>
              </w:rPr>
              <w:t>部门预算项目支出绩效自评表（2022年度）</w:t>
            </w:r>
          </w:p>
        </w:tc>
      </w:tr>
      <w:tr>
        <w:tblPrEx>
          <w:tblCellMar>
            <w:top w:w="0" w:type="dxa"/>
            <w:left w:w="108" w:type="dxa"/>
            <w:bottom w:w="0" w:type="dxa"/>
            <w:right w:w="108" w:type="dxa"/>
          </w:tblCellMar>
        </w:tblPrEx>
        <w:trPr>
          <w:trHeight w:val="285" w:hRule="atLeast"/>
          <w:jc w:val="center"/>
        </w:trPr>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项目名称</w:t>
            </w:r>
          </w:p>
        </w:tc>
        <w:tc>
          <w:tcPr>
            <w:tcW w:w="8295" w:type="dxa"/>
            <w:gridSpan w:val="9"/>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51000021R000000019951-工资性支出</w:t>
            </w:r>
          </w:p>
        </w:tc>
      </w:tr>
      <w:tr>
        <w:tblPrEx>
          <w:tblCellMar>
            <w:top w:w="0" w:type="dxa"/>
            <w:left w:w="108" w:type="dxa"/>
            <w:bottom w:w="0" w:type="dxa"/>
            <w:right w:w="108" w:type="dxa"/>
          </w:tblCellMar>
        </w:tblPrEx>
        <w:trPr>
          <w:trHeight w:val="387" w:hRule="atLeast"/>
          <w:jc w:val="center"/>
        </w:trPr>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主管部门</w:t>
            </w:r>
          </w:p>
        </w:tc>
        <w:tc>
          <w:tcPr>
            <w:tcW w:w="5178"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四川省教育厅部门</w:t>
            </w:r>
          </w:p>
        </w:tc>
        <w:tc>
          <w:tcPr>
            <w:tcW w:w="991" w:type="dxa"/>
            <w:tcBorders>
              <w:top w:val="nil"/>
              <w:left w:val="nil"/>
              <w:bottom w:val="nil"/>
              <w:right w:val="nil"/>
            </w:tcBorders>
            <w:shd w:val="clear" w:color="auto" w:fill="auto"/>
            <w:vAlign w:val="center"/>
          </w:tcPr>
          <w:p>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 xml:space="preserve">实施单位 </w:t>
            </w:r>
          </w:p>
        </w:tc>
        <w:tc>
          <w:tcPr>
            <w:tcW w:w="21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四川文理学院</w:t>
            </w:r>
          </w:p>
        </w:tc>
      </w:tr>
      <w:tr>
        <w:tblPrEx>
          <w:tblCellMar>
            <w:top w:w="0" w:type="dxa"/>
            <w:left w:w="108" w:type="dxa"/>
            <w:bottom w:w="0" w:type="dxa"/>
            <w:right w:w="108" w:type="dxa"/>
          </w:tblCellMar>
        </w:tblPrEx>
        <w:trPr>
          <w:trHeight w:val="285" w:hRule="atLeast"/>
          <w:jc w:val="center"/>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项目基本情况</w:t>
            </w:r>
          </w:p>
        </w:tc>
        <w:tc>
          <w:tcPr>
            <w:tcW w:w="1049"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1.项目年度目标完成情况</w:t>
            </w:r>
          </w:p>
        </w:tc>
        <w:tc>
          <w:tcPr>
            <w:tcW w:w="5178"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项目年度目标</w:t>
            </w:r>
          </w:p>
        </w:tc>
        <w:tc>
          <w:tcPr>
            <w:tcW w:w="3117" w:type="dxa"/>
            <w:gridSpan w:val="4"/>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Courier New" w:hAnsi="Courier New" w:cs="Courier New"/>
                <w:color w:val="000000"/>
                <w:kern w:val="0"/>
                <w:sz w:val="18"/>
                <w:szCs w:val="18"/>
              </w:rPr>
            </w:pPr>
            <w:r>
              <w:rPr>
                <w:rFonts w:ascii="Courier New" w:hAnsi="Courier New" w:cs="Courier New"/>
                <w:color w:val="000000"/>
                <w:kern w:val="0"/>
                <w:sz w:val="18"/>
                <w:szCs w:val="18"/>
              </w:rPr>
              <w:t>年度目标完成情况</w:t>
            </w:r>
          </w:p>
        </w:tc>
      </w:tr>
      <w:tr>
        <w:tblPrEx>
          <w:tblCellMar>
            <w:top w:w="0" w:type="dxa"/>
            <w:left w:w="108" w:type="dxa"/>
            <w:bottom w:w="0" w:type="dxa"/>
            <w:right w:w="108" w:type="dxa"/>
          </w:tblCellMar>
        </w:tblPrEx>
        <w:trPr>
          <w:trHeight w:val="709"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5178"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严格执行相关政策，保障工资及时发放、足额发放，预算编制科学合理，减少结余资金</w:t>
            </w:r>
          </w:p>
        </w:tc>
        <w:tc>
          <w:tcPr>
            <w:tcW w:w="3117" w:type="dxa"/>
            <w:gridSpan w:val="4"/>
            <w:tcBorders>
              <w:top w:val="single" w:color="000000" w:sz="4" w:space="0"/>
              <w:left w:val="nil"/>
              <w:bottom w:val="single" w:color="000000" w:sz="4" w:space="0"/>
              <w:right w:val="single" w:color="000000" w:sz="4" w:space="0"/>
            </w:tcBorders>
            <w:shd w:val="clear" w:color="auto" w:fill="auto"/>
            <w:vAlign w:val="center"/>
          </w:tcPr>
          <w:p>
            <w:pPr>
              <w:widowControl/>
              <w:jc w:val="left"/>
              <w:rPr>
                <w:rFonts w:hint="eastAsia" w:ascii="Courier New" w:hAnsi="Courier New" w:eastAsia="宋体" w:cs="Courier New"/>
                <w:color w:val="000000"/>
                <w:kern w:val="0"/>
                <w:sz w:val="18"/>
                <w:szCs w:val="18"/>
                <w:lang w:val="en-US" w:eastAsia="zh-CN"/>
              </w:rPr>
            </w:pPr>
            <w:r>
              <w:rPr>
                <w:rFonts w:ascii="Courier New" w:hAnsi="Courier New" w:cs="Courier New"/>
                <w:color w:val="000000"/>
                <w:kern w:val="0"/>
                <w:sz w:val="18"/>
                <w:szCs w:val="18"/>
              </w:rPr>
              <w:t>　</w:t>
            </w:r>
            <w:r>
              <w:rPr>
                <w:rFonts w:hint="eastAsia" w:ascii="Courier New" w:hAnsi="Courier New" w:cs="Courier New"/>
                <w:color w:val="000000"/>
                <w:kern w:val="0"/>
                <w:sz w:val="18"/>
                <w:szCs w:val="18"/>
                <w:lang w:eastAsia="zh-CN"/>
              </w:rPr>
              <w:t>完成</w:t>
            </w:r>
          </w:p>
        </w:tc>
      </w:tr>
      <w:tr>
        <w:tblPrEx>
          <w:tblCellMar>
            <w:top w:w="0" w:type="dxa"/>
            <w:left w:w="108" w:type="dxa"/>
            <w:bottom w:w="0" w:type="dxa"/>
            <w:right w:w="108" w:type="dxa"/>
          </w:tblCellMar>
        </w:tblPrEx>
        <w:trPr>
          <w:trHeight w:val="694"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2.项目实施内容及过程概述</w:t>
            </w:r>
          </w:p>
        </w:tc>
        <w:tc>
          <w:tcPr>
            <w:tcW w:w="8295" w:type="dxa"/>
            <w:gridSpan w:val="9"/>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工资及时发放、足额发放</w:t>
            </w:r>
          </w:p>
        </w:tc>
      </w:tr>
      <w:tr>
        <w:tblPrEx>
          <w:tblCellMar>
            <w:top w:w="0" w:type="dxa"/>
            <w:left w:w="108" w:type="dxa"/>
            <w:bottom w:w="0" w:type="dxa"/>
            <w:right w:w="108" w:type="dxa"/>
          </w:tblCellMar>
        </w:tblPrEx>
        <w:trPr>
          <w:trHeight w:val="555" w:hRule="atLeast"/>
          <w:jc w:val="center"/>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预算执行情况（10分）</w:t>
            </w: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年度预算数（万元）</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年初预算</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调整后预算数</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预算执行数</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预算执行率</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原因</w:t>
            </w:r>
          </w:p>
        </w:tc>
      </w:tr>
      <w:tr>
        <w:tblPrEx>
          <w:tblCellMar>
            <w:top w:w="0" w:type="dxa"/>
            <w:left w:w="108" w:type="dxa"/>
            <w:bottom w:w="0" w:type="dxa"/>
            <w:right w:w="108" w:type="dxa"/>
          </w:tblCellMar>
        </w:tblPrEx>
        <w:trPr>
          <w:trHeight w:val="387"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总额</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8,725.17</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8,725.17</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8,723.17</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99.98%</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10</w:t>
            </w:r>
            <w:r>
              <w:rPr>
                <w:rFonts w:hint="eastAsia" w:ascii="宋体" w:hAnsi="宋体" w:cs="宋体"/>
                <w:color w:val="000000"/>
                <w:kern w:val="0"/>
                <w:sz w:val="18"/>
                <w:szCs w:val="18"/>
              </w:rPr>
              <w:t>　</w:t>
            </w:r>
          </w:p>
        </w:tc>
        <w:tc>
          <w:tcPr>
            <w:tcW w:w="974"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Courier New" w:hAnsi="Courier New" w:cs="Courier New"/>
                <w:i/>
                <w:iCs/>
                <w:color w:val="000000"/>
                <w:kern w:val="0"/>
                <w:sz w:val="18"/>
                <w:szCs w:val="18"/>
              </w:rPr>
            </w:pPr>
            <w:r>
              <w:rPr>
                <w:rFonts w:ascii="Courier New" w:hAnsi="Courier New" w:cs="Courier New"/>
                <w:i/>
                <w:iCs/>
                <w:color w:val="000000"/>
                <w:kern w:val="0"/>
                <w:sz w:val="18"/>
                <w:szCs w:val="18"/>
              </w:rPr>
              <w:t>　</w:t>
            </w:r>
          </w:p>
        </w:tc>
      </w:tr>
      <w:tr>
        <w:tblPrEx>
          <w:tblCellMar>
            <w:top w:w="0" w:type="dxa"/>
            <w:left w:w="108" w:type="dxa"/>
            <w:bottom w:w="0" w:type="dxa"/>
            <w:right w:w="108" w:type="dxa"/>
          </w:tblCellMar>
        </w:tblPrEx>
        <w:trPr>
          <w:trHeight w:val="432"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其中：财政资金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7,981.33</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7,981.33</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7,981.33</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447"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财政专户管理资金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743.84</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743.84</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741.84</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99.73%</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402"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单位资金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379"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其他资金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454" w:hRule="atLeast"/>
          <w:jc w:val="center"/>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绩效指标（90分）</w:t>
            </w: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一级指标</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二级指标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三级指标</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指标性质</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指标值</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度量单位</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完成值</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未完成原因分析</w:t>
            </w:r>
          </w:p>
        </w:tc>
      </w:tr>
      <w:tr>
        <w:tblPrEx>
          <w:tblCellMar>
            <w:top w:w="0" w:type="dxa"/>
            <w:left w:w="108" w:type="dxa"/>
            <w:bottom w:w="0" w:type="dxa"/>
            <w:right w:w="108" w:type="dxa"/>
          </w:tblCellMar>
        </w:tblPrEx>
        <w:trPr>
          <w:trHeight w:val="338"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产出指标</w:t>
            </w:r>
          </w:p>
        </w:tc>
        <w:tc>
          <w:tcPr>
            <w:tcW w:w="1238"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足额保障率</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hint="default" w:ascii="微软雅黑" w:hAnsi="微软雅黑" w:eastAsia="微软雅黑" w:cs="宋体"/>
                <w:i/>
                <w:iCs/>
                <w:color w:val="000000"/>
                <w:kern w:val="0"/>
                <w:sz w:val="16"/>
                <w:szCs w:val="16"/>
                <w:lang w:val="en-US" w:eastAsia="zh-CN"/>
              </w:rPr>
            </w:pPr>
            <w:r>
              <w:rPr>
                <w:rFonts w:hint="eastAsia" w:ascii="微软雅黑" w:hAnsi="微软雅黑" w:eastAsia="微软雅黑" w:cs="宋体"/>
                <w:i/>
                <w:iCs/>
                <w:color w:val="000000"/>
                <w:kern w:val="0"/>
                <w:sz w:val="16"/>
                <w:szCs w:val="16"/>
              </w:rPr>
              <w:t>　</w:t>
            </w:r>
            <w:r>
              <w:rPr>
                <w:rFonts w:hint="eastAsia" w:ascii="微软雅黑" w:hAnsi="微软雅黑" w:eastAsia="微软雅黑" w:cs="宋体"/>
                <w:i/>
                <w:iCs/>
                <w:color w:val="000000"/>
                <w:kern w:val="0"/>
                <w:sz w:val="16"/>
                <w:szCs w:val="16"/>
                <w:lang w:val="en-US" w:eastAsia="zh-CN"/>
              </w:rPr>
              <w:t>100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22.5</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22.5</w:t>
            </w:r>
            <w:r>
              <w:rPr>
                <w:rFonts w:hint="eastAsia" w:ascii="宋体" w:hAnsi="宋体" w:cs="宋体"/>
                <w:color w:val="000000"/>
                <w:kern w:val="0"/>
                <w:sz w:val="18"/>
                <w:szCs w:val="18"/>
              </w:rPr>
              <w:t>　</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338"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38"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科目调整次数</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次</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lang w:val="en-US" w:eastAsia="zh-CN"/>
              </w:rPr>
              <w:t>0</w:t>
            </w:r>
            <w:r>
              <w:rPr>
                <w:rFonts w:hint="eastAsia" w:ascii="微软雅黑" w:hAnsi="微软雅黑" w:eastAsia="微软雅黑" w:cs="宋体"/>
                <w:i/>
                <w:iCs/>
                <w:color w:val="000000"/>
                <w:kern w:val="0"/>
                <w:sz w:val="16"/>
                <w:szCs w:val="16"/>
              </w:rPr>
              <w:t>　</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22.5</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22.5</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338"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按时发放率</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lang w:val="en-US" w:eastAsia="zh-CN"/>
              </w:rPr>
              <w:t>100</w:t>
            </w:r>
            <w:r>
              <w:rPr>
                <w:rFonts w:hint="eastAsia" w:ascii="微软雅黑" w:hAnsi="微软雅黑" w:eastAsia="微软雅黑" w:cs="宋体"/>
                <w:i/>
                <w:iCs/>
                <w:color w:val="000000"/>
                <w:kern w:val="0"/>
                <w:sz w:val="16"/>
                <w:szCs w:val="16"/>
              </w:rPr>
              <w:t>　</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22.5</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22.5</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454"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效益指标</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经济效益指标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结余率（计算方法为：结余数/预算数）</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lang w:val="en-US" w:eastAsia="zh-CN"/>
              </w:rPr>
              <w:t>0</w:t>
            </w:r>
            <w:r>
              <w:rPr>
                <w:rFonts w:hint="eastAsia" w:ascii="微软雅黑" w:hAnsi="微软雅黑" w:eastAsia="微软雅黑" w:cs="宋体"/>
                <w:i/>
                <w:iCs/>
                <w:color w:val="000000"/>
                <w:kern w:val="0"/>
                <w:sz w:val="16"/>
                <w:szCs w:val="16"/>
              </w:rPr>
              <w:t>　</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22.5</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22.5</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285" w:hRule="atLeast"/>
          <w:jc w:val="center"/>
        </w:trPr>
        <w:tc>
          <w:tcPr>
            <w:tcW w:w="779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合计</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576" w:type="dxa"/>
            <w:tcBorders>
              <w:top w:val="nil"/>
              <w:left w:val="nil"/>
              <w:bottom w:val="single" w:color="000000" w:sz="4" w:space="0"/>
              <w:right w:val="single" w:color="000000" w:sz="4" w:space="0"/>
            </w:tcBorders>
            <w:shd w:val="clear" w:color="auto" w:fill="auto"/>
            <w:vAlign w:val="center"/>
          </w:tcPr>
          <w:p>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974"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r>
      <w:tr>
        <w:tblPrEx>
          <w:tblCellMar>
            <w:top w:w="0" w:type="dxa"/>
            <w:left w:w="108" w:type="dxa"/>
            <w:bottom w:w="0" w:type="dxa"/>
            <w:right w:w="108" w:type="dxa"/>
          </w:tblCellMar>
        </w:tblPrEx>
        <w:trPr>
          <w:trHeight w:val="604" w:hRule="atLeast"/>
          <w:jc w:val="center"/>
        </w:trPr>
        <w:tc>
          <w:tcPr>
            <w:tcW w:w="576"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评价结论</w:t>
            </w:r>
          </w:p>
        </w:tc>
        <w:tc>
          <w:tcPr>
            <w:tcW w:w="9344"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hint="eastAsia" w:ascii="微软雅黑" w:hAnsi="微软雅黑" w:eastAsia="微软雅黑" w:cs="宋体"/>
                <w:i/>
                <w:iCs/>
                <w:color w:val="000000"/>
                <w:kern w:val="0"/>
                <w:sz w:val="16"/>
                <w:szCs w:val="16"/>
                <w:lang w:eastAsia="zh-CN"/>
              </w:rPr>
            </w:pPr>
            <w:r>
              <w:rPr>
                <w:rFonts w:hint="eastAsia" w:ascii="宋体" w:hAnsi="宋体" w:cs="宋体"/>
                <w:color w:val="000000"/>
                <w:kern w:val="0"/>
                <w:sz w:val="18"/>
                <w:szCs w:val="18"/>
                <w:lang w:eastAsia="zh-CN"/>
              </w:rPr>
              <w:t>完成</w:t>
            </w:r>
          </w:p>
        </w:tc>
      </w:tr>
      <w:tr>
        <w:tblPrEx>
          <w:tblCellMar>
            <w:top w:w="0" w:type="dxa"/>
            <w:left w:w="108" w:type="dxa"/>
            <w:bottom w:w="0" w:type="dxa"/>
            <w:right w:w="108" w:type="dxa"/>
          </w:tblCellMar>
        </w:tblPrEx>
        <w:trPr>
          <w:trHeight w:val="574" w:hRule="atLeast"/>
          <w:jc w:val="center"/>
        </w:trPr>
        <w:tc>
          <w:tcPr>
            <w:tcW w:w="576"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存在问题</w:t>
            </w:r>
          </w:p>
        </w:tc>
        <w:tc>
          <w:tcPr>
            <w:tcW w:w="9344"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i/>
                <w:iCs/>
                <w:color w:val="000000"/>
                <w:kern w:val="0"/>
                <w:sz w:val="16"/>
                <w:szCs w:val="16"/>
              </w:rPr>
            </w:pPr>
          </w:p>
        </w:tc>
      </w:tr>
      <w:tr>
        <w:tblPrEx>
          <w:tblCellMar>
            <w:top w:w="0" w:type="dxa"/>
            <w:left w:w="108" w:type="dxa"/>
            <w:bottom w:w="0" w:type="dxa"/>
            <w:right w:w="108" w:type="dxa"/>
          </w:tblCellMar>
        </w:tblPrEx>
        <w:trPr>
          <w:trHeight w:val="634" w:hRule="atLeast"/>
          <w:jc w:val="center"/>
        </w:trPr>
        <w:tc>
          <w:tcPr>
            <w:tcW w:w="576"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改进措施</w:t>
            </w:r>
          </w:p>
        </w:tc>
        <w:tc>
          <w:tcPr>
            <w:tcW w:w="9344"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i/>
                <w:iCs/>
                <w:color w:val="000000"/>
                <w:kern w:val="0"/>
                <w:sz w:val="16"/>
                <w:szCs w:val="16"/>
              </w:rPr>
            </w:pPr>
          </w:p>
        </w:tc>
      </w:tr>
      <w:tr>
        <w:tblPrEx>
          <w:tblCellMar>
            <w:top w:w="0" w:type="dxa"/>
            <w:left w:w="108" w:type="dxa"/>
            <w:bottom w:w="0" w:type="dxa"/>
            <w:right w:w="108" w:type="dxa"/>
          </w:tblCellMar>
        </w:tblPrEx>
        <w:trPr>
          <w:trHeight w:val="285" w:hRule="atLeast"/>
          <w:jc w:val="center"/>
        </w:trPr>
        <w:tc>
          <w:tcPr>
            <w:tcW w:w="520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hint="eastAsia" w:ascii="Courier New" w:hAnsi="Courier New" w:eastAsia="宋体" w:cs="Courier New"/>
                <w:color w:val="000000"/>
                <w:kern w:val="0"/>
                <w:sz w:val="18"/>
                <w:szCs w:val="18"/>
                <w:lang w:eastAsia="zh-CN"/>
              </w:rPr>
            </w:pPr>
            <w:r>
              <w:rPr>
                <w:rFonts w:hint="eastAsia" w:ascii="Courier New" w:hAnsi="Courier New" w:cs="Courier New"/>
                <w:color w:val="000000"/>
                <w:kern w:val="0"/>
                <w:sz w:val="18"/>
                <w:szCs w:val="18"/>
                <w:lang w:eastAsia="zh-CN"/>
              </w:rPr>
              <w:t>项目负责人：黄丽梅</w:t>
            </w:r>
          </w:p>
        </w:tc>
        <w:tc>
          <w:tcPr>
            <w:tcW w:w="4719" w:type="dxa"/>
            <w:gridSpan w:val="6"/>
            <w:tcBorders>
              <w:top w:val="single" w:color="000000" w:sz="4" w:space="0"/>
              <w:left w:val="nil"/>
              <w:bottom w:val="single" w:color="000000" w:sz="4" w:space="0"/>
              <w:right w:val="single" w:color="000000" w:sz="4" w:space="0"/>
            </w:tcBorders>
            <w:shd w:val="clear" w:color="auto" w:fill="auto"/>
            <w:vAlign w:val="center"/>
          </w:tcPr>
          <w:p>
            <w:pPr>
              <w:widowControl/>
              <w:jc w:val="left"/>
              <w:rPr>
                <w:rFonts w:hint="eastAsia" w:ascii="Courier New" w:hAnsi="Courier New" w:eastAsia="宋体" w:cs="Courier New"/>
                <w:color w:val="000000"/>
                <w:kern w:val="0"/>
                <w:sz w:val="18"/>
                <w:szCs w:val="18"/>
                <w:lang w:eastAsia="zh-CN"/>
              </w:rPr>
            </w:pPr>
            <w:r>
              <w:rPr>
                <w:rFonts w:hint="eastAsia" w:ascii="Courier New" w:hAnsi="Courier New" w:cs="Courier New"/>
                <w:color w:val="000000"/>
                <w:kern w:val="0"/>
                <w:sz w:val="18"/>
                <w:szCs w:val="18"/>
                <w:lang w:eastAsia="zh-CN"/>
              </w:rPr>
              <w:t>财务负责人：靳能泉</w:t>
            </w:r>
          </w:p>
        </w:tc>
      </w:tr>
      <w:tr>
        <w:tblPrEx>
          <w:tblCellMar>
            <w:top w:w="0" w:type="dxa"/>
            <w:left w:w="108" w:type="dxa"/>
            <w:bottom w:w="0" w:type="dxa"/>
            <w:right w:w="108" w:type="dxa"/>
          </w:tblCellMar>
        </w:tblPrEx>
        <w:trPr>
          <w:trHeight w:val="904" w:hRule="atLeast"/>
          <w:jc w:val="center"/>
        </w:trPr>
        <w:tc>
          <w:tcPr>
            <w:tcW w:w="99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黑体" w:hAnsi="黑体" w:eastAsia="黑体" w:cs="宋体"/>
                <w:b/>
                <w:bCs/>
                <w:color w:val="000000"/>
                <w:kern w:val="0"/>
                <w:sz w:val="30"/>
                <w:szCs w:val="30"/>
              </w:rPr>
            </w:pPr>
            <w:r>
              <w:rPr>
                <w:rFonts w:hint="eastAsia" w:ascii="黑体" w:hAnsi="黑体" w:eastAsia="黑体" w:cs="宋体"/>
                <w:b/>
                <w:bCs/>
                <w:color w:val="000000"/>
                <w:kern w:val="0"/>
                <w:sz w:val="30"/>
                <w:szCs w:val="30"/>
              </w:rPr>
              <w:t>部门预算项目支出绩效自评表（2022年度）</w:t>
            </w:r>
          </w:p>
        </w:tc>
      </w:tr>
      <w:tr>
        <w:tblPrEx>
          <w:tblCellMar>
            <w:top w:w="0" w:type="dxa"/>
            <w:left w:w="108" w:type="dxa"/>
            <w:bottom w:w="0" w:type="dxa"/>
            <w:right w:w="108" w:type="dxa"/>
          </w:tblCellMar>
        </w:tblPrEx>
        <w:trPr>
          <w:trHeight w:val="285" w:hRule="atLeast"/>
          <w:jc w:val="center"/>
        </w:trPr>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项目名称</w:t>
            </w:r>
          </w:p>
        </w:tc>
        <w:tc>
          <w:tcPr>
            <w:tcW w:w="8295" w:type="dxa"/>
            <w:gridSpan w:val="9"/>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51000021R000000019953-单位缴费</w:t>
            </w:r>
          </w:p>
        </w:tc>
      </w:tr>
      <w:tr>
        <w:tblPrEx>
          <w:tblCellMar>
            <w:top w:w="0" w:type="dxa"/>
            <w:left w:w="108" w:type="dxa"/>
            <w:bottom w:w="0" w:type="dxa"/>
            <w:right w:w="108" w:type="dxa"/>
          </w:tblCellMar>
        </w:tblPrEx>
        <w:trPr>
          <w:trHeight w:val="514" w:hRule="atLeast"/>
          <w:jc w:val="center"/>
        </w:trPr>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主管部门</w:t>
            </w:r>
          </w:p>
        </w:tc>
        <w:tc>
          <w:tcPr>
            <w:tcW w:w="5178"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四川省教育厅部门</w:t>
            </w:r>
          </w:p>
        </w:tc>
        <w:tc>
          <w:tcPr>
            <w:tcW w:w="991" w:type="dxa"/>
            <w:tcBorders>
              <w:top w:val="nil"/>
              <w:left w:val="nil"/>
              <w:bottom w:val="nil"/>
              <w:right w:val="nil"/>
            </w:tcBorders>
            <w:shd w:val="clear" w:color="auto" w:fill="auto"/>
            <w:vAlign w:val="center"/>
          </w:tcPr>
          <w:p>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实施单位 （盖章）</w:t>
            </w:r>
          </w:p>
        </w:tc>
        <w:tc>
          <w:tcPr>
            <w:tcW w:w="21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四川文理学院</w:t>
            </w:r>
          </w:p>
        </w:tc>
      </w:tr>
      <w:tr>
        <w:trPr>
          <w:trHeight w:val="285" w:hRule="atLeast"/>
          <w:jc w:val="center"/>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项目基本情况</w:t>
            </w:r>
          </w:p>
        </w:tc>
        <w:tc>
          <w:tcPr>
            <w:tcW w:w="1049"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1.项目年度目标完成情况</w:t>
            </w:r>
          </w:p>
        </w:tc>
        <w:tc>
          <w:tcPr>
            <w:tcW w:w="5178"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项目年度目标</w:t>
            </w:r>
          </w:p>
        </w:tc>
        <w:tc>
          <w:tcPr>
            <w:tcW w:w="3117" w:type="dxa"/>
            <w:gridSpan w:val="4"/>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Courier New" w:hAnsi="Courier New" w:cs="Courier New"/>
                <w:color w:val="000000"/>
                <w:kern w:val="0"/>
                <w:sz w:val="18"/>
                <w:szCs w:val="18"/>
              </w:rPr>
            </w:pPr>
            <w:r>
              <w:rPr>
                <w:rFonts w:ascii="Courier New" w:hAnsi="Courier New" w:cs="Courier New"/>
                <w:color w:val="000000"/>
                <w:kern w:val="0"/>
                <w:sz w:val="18"/>
                <w:szCs w:val="18"/>
              </w:rPr>
              <w:t>年度目标完成情况</w:t>
            </w:r>
          </w:p>
        </w:tc>
      </w:tr>
      <w:tr>
        <w:tblPrEx>
          <w:tblCellMar>
            <w:top w:w="0" w:type="dxa"/>
            <w:left w:w="108" w:type="dxa"/>
            <w:bottom w:w="0" w:type="dxa"/>
            <w:right w:w="108" w:type="dxa"/>
          </w:tblCellMar>
        </w:tblPrEx>
        <w:trPr>
          <w:trHeight w:val="709"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5178"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严格执行相关政策，保障工资及时发放、足额发放，预算编制科学合理，减少结余资金</w:t>
            </w:r>
          </w:p>
        </w:tc>
        <w:tc>
          <w:tcPr>
            <w:tcW w:w="3117" w:type="dxa"/>
            <w:gridSpan w:val="4"/>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　</w:t>
            </w:r>
            <w:r>
              <w:rPr>
                <w:rFonts w:hint="eastAsia" w:ascii="Courier New" w:hAnsi="Courier New" w:cs="Courier New"/>
                <w:color w:val="000000"/>
                <w:kern w:val="0"/>
                <w:sz w:val="18"/>
                <w:szCs w:val="18"/>
                <w:lang w:eastAsia="zh-CN"/>
              </w:rPr>
              <w:t>完成</w:t>
            </w:r>
          </w:p>
        </w:tc>
      </w:tr>
      <w:tr>
        <w:tblPrEx>
          <w:tblCellMar>
            <w:top w:w="0" w:type="dxa"/>
            <w:left w:w="108" w:type="dxa"/>
            <w:bottom w:w="0" w:type="dxa"/>
            <w:right w:w="108" w:type="dxa"/>
          </w:tblCellMar>
        </w:tblPrEx>
        <w:trPr>
          <w:trHeight w:val="694"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2.项目实施内容及过程概述</w:t>
            </w:r>
          </w:p>
        </w:tc>
        <w:tc>
          <w:tcPr>
            <w:tcW w:w="8295" w:type="dxa"/>
            <w:gridSpan w:val="9"/>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工资及时发放、足额发放</w:t>
            </w:r>
          </w:p>
        </w:tc>
      </w:tr>
      <w:tr>
        <w:tblPrEx>
          <w:tblCellMar>
            <w:top w:w="0" w:type="dxa"/>
            <w:left w:w="108" w:type="dxa"/>
            <w:bottom w:w="0" w:type="dxa"/>
            <w:right w:w="108" w:type="dxa"/>
          </w:tblCellMar>
        </w:tblPrEx>
        <w:trPr>
          <w:trHeight w:val="360" w:hRule="atLeast"/>
          <w:jc w:val="center"/>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预算执行情况（10分）</w:t>
            </w: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年度预算数（万元）</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年初预算</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调整后预算数</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预算执行数</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预算执行率</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原因</w:t>
            </w:r>
          </w:p>
        </w:tc>
      </w:tr>
      <w:tr>
        <w:tblPrEx>
          <w:tblCellMar>
            <w:top w:w="0" w:type="dxa"/>
            <w:left w:w="108" w:type="dxa"/>
            <w:bottom w:w="0" w:type="dxa"/>
            <w:right w:w="108" w:type="dxa"/>
          </w:tblCellMar>
        </w:tblPrEx>
        <w:trPr>
          <w:trHeight w:val="387"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总额</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5,109.02</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5,109.02</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4,602.46</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90.08%</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9</w:t>
            </w:r>
            <w:r>
              <w:rPr>
                <w:rFonts w:hint="eastAsia" w:ascii="宋体" w:hAnsi="宋体" w:cs="宋体"/>
                <w:color w:val="000000"/>
                <w:kern w:val="0"/>
                <w:sz w:val="18"/>
                <w:szCs w:val="18"/>
              </w:rPr>
              <w:t>　</w:t>
            </w:r>
          </w:p>
        </w:tc>
        <w:tc>
          <w:tcPr>
            <w:tcW w:w="974"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Courier New" w:hAnsi="Courier New" w:cs="Courier New"/>
                <w:i/>
                <w:iCs/>
                <w:color w:val="000000"/>
                <w:kern w:val="0"/>
                <w:sz w:val="18"/>
                <w:szCs w:val="18"/>
              </w:rPr>
            </w:pPr>
            <w:r>
              <w:rPr>
                <w:rFonts w:ascii="Courier New" w:hAnsi="Courier New" w:cs="Courier New"/>
                <w:i/>
                <w:iCs/>
                <w:color w:val="000000"/>
                <w:kern w:val="0"/>
                <w:sz w:val="18"/>
                <w:szCs w:val="18"/>
              </w:rPr>
              <w:t>　</w:t>
            </w:r>
          </w:p>
        </w:tc>
      </w:tr>
      <w:tr>
        <w:tblPrEx>
          <w:tblCellMar>
            <w:top w:w="0" w:type="dxa"/>
            <w:left w:w="108" w:type="dxa"/>
            <w:bottom w:w="0" w:type="dxa"/>
            <w:right w:w="108" w:type="dxa"/>
          </w:tblCellMar>
        </w:tblPrEx>
        <w:trPr>
          <w:trHeight w:val="432"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其中：财政资金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4,038.00</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4,038.00</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4,038.00</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447"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财政专户管理资金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941.02</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941.02</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564.46</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59.98%</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402"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单位资金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130.00</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130.00</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379"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其他资金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454" w:hRule="atLeast"/>
          <w:jc w:val="center"/>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绩效指标（90分）</w:t>
            </w: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一级指标</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二级指标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三级指标</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指标性质</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指标值</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度量单位</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完成值</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未完成原因分析</w:t>
            </w:r>
          </w:p>
        </w:tc>
      </w:tr>
      <w:tr>
        <w:tblPrEx>
          <w:tblCellMar>
            <w:top w:w="0" w:type="dxa"/>
            <w:left w:w="108" w:type="dxa"/>
            <w:bottom w:w="0" w:type="dxa"/>
            <w:right w:w="108" w:type="dxa"/>
          </w:tblCellMar>
        </w:tblPrEx>
        <w:trPr>
          <w:trHeight w:val="338"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产出指标</w:t>
            </w:r>
          </w:p>
        </w:tc>
        <w:tc>
          <w:tcPr>
            <w:tcW w:w="1238"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科目调整次数</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次</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lang w:val="en-US" w:eastAsia="zh-CN"/>
              </w:rPr>
              <w:t>0</w:t>
            </w:r>
            <w:r>
              <w:rPr>
                <w:rFonts w:hint="eastAsia" w:ascii="微软雅黑" w:hAnsi="微软雅黑" w:eastAsia="微软雅黑" w:cs="宋体"/>
                <w:i/>
                <w:iCs/>
                <w:color w:val="000000"/>
                <w:kern w:val="0"/>
                <w:sz w:val="16"/>
                <w:szCs w:val="16"/>
              </w:rPr>
              <w:t>　</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22.5</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22.5</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338"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38"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足额保障率</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hint="default" w:ascii="微软雅黑" w:hAnsi="微软雅黑" w:eastAsia="微软雅黑" w:cs="宋体"/>
                <w:i/>
                <w:iCs/>
                <w:color w:val="000000"/>
                <w:kern w:val="0"/>
                <w:sz w:val="16"/>
                <w:szCs w:val="16"/>
                <w:lang w:val="en-US" w:eastAsia="zh-CN"/>
              </w:rPr>
            </w:pPr>
            <w:r>
              <w:rPr>
                <w:rFonts w:hint="eastAsia" w:ascii="微软雅黑" w:hAnsi="微软雅黑" w:eastAsia="微软雅黑" w:cs="宋体"/>
                <w:i/>
                <w:iCs/>
                <w:color w:val="000000"/>
                <w:kern w:val="0"/>
                <w:sz w:val="16"/>
                <w:szCs w:val="16"/>
              </w:rPr>
              <w:t>　</w:t>
            </w:r>
            <w:r>
              <w:rPr>
                <w:rFonts w:hint="eastAsia" w:ascii="微软雅黑" w:hAnsi="微软雅黑" w:eastAsia="微软雅黑" w:cs="宋体"/>
                <w:i/>
                <w:iCs/>
                <w:color w:val="000000"/>
                <w:kern w:val="0"/>
                <w:sz w:val="16"/>
                <w:szCs w:val="16"/>
                <w:lang w:val="en-US" w:eastAsia="zh-CN"/>
              </w:rPr>
              <w:t>100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22.5</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22.5</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338"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按时发放率</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hint="default" w:ascii="微软雅黑" w:hAnsi="微软雅黑" w:eastAsia="微软雅黑" w:cs="宋体"/>
                <w:i/>
                <w:iCs/>
                <w:color w:val="000000"/>
                <w:kern w:val="0"/>
                <w:sz w:val="16"/>
                <w:szCs w:val="16"/>
                <w:lang w:val="en-US" w:eastAsia="zh-CN"/>
              </w:rPr>
            </w:pPr>
            <w:r>
              <w:rPr>
                <w:rFonts w:hint="eastAsia" w:ascii="微软雅黑" w:hAnsi="微软雅黑" w:eastAsia="微软雅黑" w:cs="宋体"/>
                <w:i/>
                <w:iCs/>
                <w:color w:val="000000"/>
                <w:kern w:val="0"/>
                <w:sz w:val="16"/>
                <w:szCs w:val="16"/>
              </w:rPr>
              <w:t>　</w:t>
            </w:r>
            <w:r>
              <w:rPr>
                <w:rFonts w:hint="eastAsia" w:ascii="微软雅黑" w:hAnsi="微软雅黑" w:eastAsia="微软雅黑" w:cs="宋体"/>
                <w:i/>
                <w:iCs/>
                <w:color w:val="000000"/>
                <w:kern w:val="0"/>
                <w:sz w:val="16"/>
                <w:szCs w:val="16"/>
                <w:lang w:val="en-US" w:eastAsia="zh-CN"/>
              </w:rPr>
              <w:t>100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22.5</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22.5</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454"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效益指标</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经济效益指标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结余率（计算方法为：结余数/预算数）</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hint="eastAsia" w:ascii="微软雅黑" w:hAnsi="微软雅黑" w:eastAsia="微软雅黑" w:cs="宋体"/>
                <w:i/>
                <w:iCs/>
                <w:color w:val="000000"/>
                <w:kern w:val="0"/>
                <w:sz w:val="16"/>
                <w:szCs w:val="16"/>
                <w:lang w:val="en-US" w:eastAsia="zh-CN"/>
              </w:rPr>
            </w:pPr>
            <w:r>
              <w:rPr>
                <w:rFonts w:hint="eastAsia" w:ascii="微软雅黑" w:hAnsi="微软雅黑" w:eastAsia="微软雅黑" w:cs="宋体"/>
                <w:i/>
                <w:iCs/>
                <w:color w:val="000000"/>
                <w:kern w:val="0"/>
                <w:sz w:val="16"/>
                <w:szCs w:val="16"/>
                <w:lang w:val="en-US" w:eastAsia="zh-CN"/>
              </w:rPr>
              <w:t>1</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22.5</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20.3</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285" w:hRule="atLeast"/>
          <w:jc w:val="center"/>
        </w:trPr>
        <w:tc>
          <w:tcPr>
            <w:tcW w:w="779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合计</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576" w:type="dxa"/>
            <w:tcBorders>
              <w:top w:val="nil"/>
              <w:left w:val="nil"/>
              <w:bottom w:val="single" w:color="000000" w:sz="4" w:space="0"/>
              <w:right w:val="single" w:color="000000" w:sz="4" w:space="0"/>
            </w:tcBorders>
            <w:shd w:val="clear" w:color="auto" w:fill="auto"/>
            <w:vAlign w:val="center"/>
          </w:tcPr>
          <w:p>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96.8</w:t>
            </w:r>
          </w:p>
        </w:tc>
        <w:tc>
          <w:tcPr>
            <w:tcW w:w="974"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r>
      <w:tr>
        <w:tblPrEx>
          <w:tblCellMar>
            <w:top w:w="0" w:type="dxa"/>
            <w:left w:w="108" w:type="dxa"/>
            <w:bottom w:w="0" w:type="dxa"/>
            <w:right w:w="108" w:type="dxa"/>
          </w:tblCellMar>
        </w:tblPrEx>
        <w:trPr>
          <w:trHeight w:val="604" w:hRule="atLeast"/>
          <w:jc w:val="center"/>
        </w:trPr>
        <w:tc>
          <w:tcPr>
            <w:tcW w:w="576"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评价结论</w:t>
            </w:r>
          </w:p>
        </w:tc>
        <w:tc>
          <w:tcPr>
            <w:tcW w:w="9344"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hint="eastAsia" w:ascii="微软雅黑" w:hAnsi="微软雅黑" w:eastAsia="微软雅黑" w:cs="宋体"/>
                <w:i/>
                <w:iCs/>
                <w:color w:val="000000"/>
                <w:kern w:val="0"/>
                <w:sz w:val="16"/>
                <w:szCs w:val="16"/>
                <w:lang w:eastAsia="zh-CN"/>
              </w:rPr>
            </w:pPr>
            <w:r>
              <w:rPr>
                <w:rFonts w:hint="eastAsia" w:ascii="宋体" w:hAnsi="宋体" w:cs="宋体"/>
                <w:color w:val="000000"/>
                <w:kern w:val="0"/>
                <w:sz w:val="18"/>
                <w:szCs w:val="18"/>
                <w:lang w:eastAsia="zh-CN"/>
              </w:rPr>
              <w:t>完</w:t>
            </w:r>
            <w:r>
              <w:rPr>
                <w:rFonts w:hint="eastAsia" w:ascii="宋体" w:hAnsi="宋体" w:cs="宋体"/>
                <w:color w:val="000000"/>
                <w:kern w:val="0"/>
                <w:sz w:val="18"/>
                <w:szCs w:val="18"/>
                <w:lang w:eastAsia="zh-CN"/>
              </w:rPr>
              <w:t>成</w:t>
            </w:r>
          </w:p>
        </w:tc>
      </w:tr>
      <w:tr>
        <w:tblPrEx>
          <w:tblCellMar>
            <w:top w:w="0" w:type="dxa"/>
            <w:left w:w="108" w:type="dxa"/>
            <w:bottom w:w="0" w:type="dxa"/>
            <w:right w:w="108" w:type="dxa"/>
          </w:tblCellMar>
        </w:tblPrEx>
        <w:trPr>
          <w:trHeight w:val="90" w:hRule="atLeast"/>
          <w:jc w:val="center"/>
        </w:trPr>
        <w:tc>
          <w:tcPr>
            <w:tcW w:w="576"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存在问题</w:t>
            </w:r>
          </w:p>
        </w:tc>
        <w:tc>
          <w:tcPr>
            <w:tcW w:w="9344"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i/>
                <w:iCs/>
                <w:color w:val="000000"/>
                <w:kern w:val="0"/>
                <w:sz w:val="16"/>
                <w:szCs w:val="16"/>
              </w:rPr>
            </w:pPr>
          </w:p>
        </w:tc>
      </w:tr>
      <w:tr>
        <w:tblPrEx>
          <w:tblCellMar>
            <w:top w:w="0" w:type="dxa"/>
            <w:left w:w="108" w:type="dxa"/>
            <w:bottom w:w="0" w:type="dxa"/>
            <w:right w:w="108" w:type="dxa"/>
          </w:tblCellMar>
        </w:tblPrEx>
        <w:trPr>
          <w:trHeight w:val="634" w:hRule="atLeast"/>
          <w:jc w:val="center"/>
        </w:trPr>
        <w:tc>
          <w:tcPr>
            <w:tcW w:w="576"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改进措施</w:t>
            </w:r>
          </w:p>
        </w:tc>
        <w:tc>
          <w:tcPr>
            <w:tcW w:w="9344"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i/>
                <w:iCs/>
                <w:color w:val="000000"/>
                <w:kern w:val="0"/>
                <w:sz w:val="16"/>
                <w:szCs w:val="16"/>
              </w:rPr>
            </w:pPr>
          </w:p>
        </w:tc>
      </w:tr>
      <w:tr>
        <w:tblPrEx>
          <w:tblCellMar>
            <w:top w:w="0" w:type="dxa"/>
            <w:left w:w="108" w:type="dxa"/>
            <w:bottom w:w="0" w:type="dxa"/>
            <w:right w:w="108" w:type="dxa"/>
          </w:tblCellMar>
        </w:tblPrEx>
        <w:trPr>
          <w:trHeight w:val="285" w:hRule="atLeast"/>
          <w:jc w:val="center"/>
        </w:trPr>
        <w:tc>
          <w:tcPr>
            <w:tcW w:w="520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hint="eastAsia" w:ascii="Courier New" w:hAnsi="Courier New" w:eastAsia="宋体" w:cs="Courier New"/>
                <w:color w:val="000000"/>
                <w:kern w:val="0"/>
                <w:sz w:val="18"/>
                <w:szCs w:val="18"/>
                <w:lang w:eastAsia="zh-CN"/>
              </w:rPr>
            </w:pPr>
            <w:r>
              <w:rPr>
                <w:rFonts w:hint="eastAsia" w:ascii="Courier New" w:hAnsi="Courier New" w:cs="Courier New"/>
                <w:color w:val="000000"/>
                <w:kern w:val="0"/>
                <w:sz w:val="18"/>
                <w:szCs w:val="18"/>
                <w:lang w:eastAsia="zh-CN"/>
              </w:rPr>
              <w:t>项目负责人：黄丽梅</w:t>
            </w:r>
          </w:p>
        </w:tc>
        <w:tc>
          <w:tcPr>
            <w:tcW w:w="4719" w:type="dxa"/>
            <w:gridSpan w:val="6"/>
            <w:tcBorders>
              <w:top w:val="single" w:color="000000" w:sz="4" w:space="0"/>
              <w:left w:val="nil"/>
              <w:bottom w:val="single" w:color="000000" w:sz="4" w:space="0"/>
              <w:right w:val="single" w:color="000000" w:sz="4" w:space="0"/>
            </w:tcBorders>
            <w:shd w:val="clear" w:color="auto" w:fill="auto"/>
            <w:vAlign w:val="center"/>
          </w:tcPr>
          <w:p>
            <w:pPr>
              <w:widowControl/>
              <w:jc w:val="left"/>
              <w:rPr>
                <w:rFonts w:hint="eastAsia" w:ascii="Courier New" w:hAnsi="Courier New" w:eastAsia="宋体" w:cs="Courier New"/>
                <w:color w:val="000000"/>
                <w:kern w:val="0"/>
                <w:sz w:val="18"/>
                <w:szCs w:val="18"/>
                <w:lang w:eastAsia="zh-CN"/>
              </w:rPr>
            </w:pPr>
            <w:r>
              <w:rPr>
                <w:rFonts w:hint="eastAsia" w:ascii="Courier New" w:hAnsi="Courier New" w:cs="Courier New"/>
                <w:color w:val="000000"/>
                <w:kern w:val="0"/>
                <w:sz w:val="18"/>
                <w:szCs w:val="18"/>
                <w:lang w:eastAsia="zh-CN"/>
              </w:rPr>
              <w:t>财务负责人：靳能泉</w:t>
            </w:r>
          </w:p>
        </w:tc>
      </w:tr>
      <w:tr>
        <w:tblPrEx>
          <w:tblCellMar>
            <w:top w:w="0" w:type="dxa"/>
            <w:left w:w="108" w:type="dxa"/>
            <w:bottom w:w="0" w:type="dxa"/>
            <w:right w:w="108" w:type="dxa"/>
          </w:tblCellMar>
        </w:tblPrEx>
        <w:trPr>
          <w:trHeight w:val="285" w:hRule="atLeast"/>
          <w:jc w:val="center"/>
        </w:trPr>
        <w:tc>
          <w:tcPr>
            <w:tcW w:w="576"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1049"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1238"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1793"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545"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846" w:type="dxa"/>
            <w:tcBorders>
              <w:top w:val="nil"/>
              <w:left w:val="nil"/>
              <w:bottom w:val="nil"/>
              <w:right w:val="nil"/>
            </w:tcBorders>
            <w:shd w:val="clear" w:color="auto" w:fill="auto"/>
            <w:vAlign w:val="center"/>
          </w:tcPr>
          <w:p>
            <w:pPr>
              <w:widowControl/>
              <w:jc w:val="left"/>
              <w:rPr>
                <w:rFonts w:hint="eastAsia" w:ascii="宋体" w:hAnsi="宋体" w:cs="宋体"/>
                <w:kern w:val="0"/>
                <w:sz w:val="18"/>
                <w:szCs w:val="18"/>
              </w:rPr>
            </w:pPr>
            <w:r>
              <w:rPr>
                <w:rFonts w:hint="eastAsia" w:ascii="宋体" w:hAnsi="宋体" w:cs="宋体"/>
                <w:kern w:val="0"/>
                <w:sz w:val="18"/>
                <w:szCs w:val="18"/>
              </w:rPr>
              <w:t>　</w:t>
            </w:r>
          </w:p>
          <w:p>
            <w:pPr>
              <w:pStyle w:val="2"/>
              <w:spacing w:before="93"/>
            </w:pPr>
          </w:p>
        </w:tc>
        <w:tc>
          <w:tcPr>
            <w:tcW w:w="756"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991"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576"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576"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974"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r>
      <w:tr>
        <w:trPr>
          <w:trHeight w:val="904" w:hRule="atLeast"/>
          <w:jc w:val="center"/>
        </w:trPr>
        <w:tc>
          <w:tcPr>
            <w:tcW w:w="99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黑体" w:hAnsi="黑体" w:eastAsia="黑体" w:cs="宋体"/>
                <w:b/>
                <w:bCs/>
                <w:color w:val="000000"/>
                <w:kern w:val="0"/>
                <w:sz w:val="30"/>
                <w:szCs w:val="30"/>
              </w:rPr>
            </w:pPr>
            <w:r>
              <w:rPr>
                <w:rFonts w:hint="eastAsia" w:ascii="黑体" w:hAnsi="黑体" w:eastAsia="黑体" w:cs="宋体"/>
                <w:b/>
                <w:bCs/>
                <w:color w:val="000000"/>
                <w:kern w:val="0"/>
                <w:sz w:val="30"/>
                <w:szCs w:val="30"/>
              </w:rPr>
              <w:t>部门预算项目支出绩效自评表（2022年度）</w:t>
            </w:r>
          </w:p>
        </w:tc>
      </w:tr>
      <w:tr>
        <w:tblPrEx>
          <w:tblCellMar>
            <w:top w:w="0" w:type="dxa"/>
            <w:left w:w="108" w:type="dxa"/>
            <w:bottom w:w="0" w:type="dxa"/>
            <w:right w:w="108" w:type="dxa"/>
          </w:tblCellMar>
        </w:tblPrEx>
        <w:trPr>
          <w:trHeight w:val="285" w:hRule="atLeast"/>
          <w:jc w:val="center"/>
        </w:trPr>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项目名称</w:t>
            </w:r>
          </w:p>
        </w:tc>
        <w:tc>
          <w:tcPr>
            <w:tcW w:w="8295" w:type="dxa"/>
            <w:gridSpan w:val="9"/>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51000021R000000019954-聘用人员经费</w:t>
            </w:r>
          </w:p>
        </w:tc>
      </w:tr>
      <w:tr>
        <w:tblPrEx>
          <w:tblCellMar>
            <w:top w:w="0" w:type="dxa"/>
            <w:left w:w="108" w:type="dxa"/>
            <w:bottom w:w="0" w:type="dxa"/>
            <w:right w:w="108" w:type="dxa"/>
          </w:tblCellMar>
        </w:tblPrEx>
        <w:trPr>
          <w:trHeight w:val="514" w:hRule="atLeast"/>
          <w:jc w:val="center"/>
        </w:trPr>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主管部门</w:t>
            </w:r>
          </w:p>
        </w:tc>
        <w:tc>
          <w:tcPr>
            <w:tcW w:w="5178"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四川省教育厅部门</w:t>
            </w:r>
          </w:p>
        </w:tc>
        <w:tc>
          <w:tcPr>
            <w:tcW w:w="991" w:type="dxa"/>
            <w:tcBorders>
              <w:top w:val="nil"/>
              <w:left w:val="nil"/>
              <w:bottom w:val="nil"/>
              <w:right w:val="nil"/>
            </w:tcBorders>
            <w:shd w:val="clear" w:color="auto" w:fill="auto"/>
            <w:vAlign w:val="center"/>
          </w:tcPr>
          <w:p>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实施单位 （盖章）</w:t>
            </w:r>
          </w:p>
        </w:tc>
        <w:tc>
          <w:tcPr>
            <w:tcW w:w="21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四川文理学院</w:t>
            </w:r>
          </w:p>
        </w:tc>
      </w:tr>
      <w:tr>
        <w:trPr>
          <w:trHeight w:val="285" w:hRule="atLeast"/>
          <w:jc w:val="center"/>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项目基本情况</w:t>
            </w:r>
          </w:p>
        </w:tc>
        <w:tc>
          <w:tcPr>
            <w:tcW w:w="1049"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1.项目年度目标完成情况</w:t>
            </w:r>
          </w:p>
        </w:tc>
        <w:tc>
          <w:tcPr>
            <w:tcW w:w="5178"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项目年度目标</w:t>
            </w:r>
          </w:p>
        </w:tc>
        <w:tc>
          <w:tcPr>
            <w:tcW w:w="3117" w:type="dxa"/>
            <w:gridSpan w:val="4"/>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Courier New" w:hAnsi="Courier New" w:cs="Courier New"/>
                <w:color w:val="000000"/>
                <w:kern w:val="0"/>
                <w:sz w:val="18"/>
                <w:szCs w:val="18"/>
              </w:rPr>
            </w:pPr>
            <w:r>
              <w:rPr>
                <w:rFonts w:ascii="Courier New" w:hAnsi="Courier New" w:cs="Courier New"/>
                <w:color w:val="000000"/>
                <w:kern w:val="0"/>
                <w:sz w:val="18"/>
                <w:szCs w:val="18"/>
              </w:rPr>
              <w:t>年度目标完成情况</w:t>
            </w:r>
          </w:p>
        </w:tc>
      </w:tr>
      <w:tr>
        <w:tblPrEx>
          <w:tblCellMar>
            <w:top w:w="0" w:type="dxa"/>
            <w:left w:w="108" w:type="dxa"/>
            <w:bottom w:w="0" w:type="dxa"/>
            <w:right w:w="108" w:type="dxa"/>
          </w:tblCellMar>
        </w:tblPrEx>
        <w:trPr>
          <w:trHeight w:val="709"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5178"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严格执行相关政策，保障工资及时发放、足额发放，预算编制科学合理，减少结余资金</w:t>
            </w:r>
          </w:p>
        </w:tc>
        <w:tc>
          <w:tcPr>
            <w:tcW w:w="3117" w:type="dxa"/>
            <w:gridSpan w:val="4"/>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　</w:t>
            </w:r>
            <w:r>
              <w:rPr>
                <w:rFonts w:hint="eastAsia" w:ascii="Courier New" w:hAnsi="Courier New" w:cs="Courier New"/>
                <w:color w:val="000000"/>
                <w:kern w:val="0"/>
                <w:sz w:val="18"/>
                <w:szCs w:val="18"/>
                <w:lang w:eastAsia="zh-CN"/>
              </w:rPr>
              <w:t>完成</w:t>
            </w:r>
          </w:p>
        </w:tc>
      </w:tr>
      <w:tr>
        <w:tblPrEx>
          <w:tblCellMar>
            <w:top w:w="0" w:type="dxa"/>
            <w:left w:w="108" w:type="dxa"/>
            <w:bottom w:w="0" w:type="dxa"/>
            <w:right w:w="108" w:type="dxa"/>
          </w:tblCellMar>
        </w:tblPrEx>
        <w:trPr>
          <w:trHeight w:val="694"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2.项目实施内容及过程概述</w:t>
            </w:r>
          </w:p>
        </w:tc>
        <w:tc>
          <w:tcPr>
            <w:tcW w:w="8295" w:type="dxa"/>
            <w:gridSpan w:val="9"/>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工资及时发放、足额发放</w:t>
            </w:r>
          </w:p>
        </w:tc>
      </w:tr>
      <w:tr>
        <w:tblPrEx>
          <w:tblCellMar>
            <w:top w:w="0" w:type="dxa"/>
            <w:left w:w="108" w:type="dxa"/>
            <w:bottom w:w="0" w:type="dxa"/>
            <w:right w:w="108" w:type="dxa"/>
          </w:tblCellMar>
        </w:tblPrEx>
        <w:trPr>
          <w:trHeight w:val="360" w:hRule="atLeast"/>
          <w:jc w:val="center"/>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预算执行情况（10分）</w:t>
            </w: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年度预算数（万元）</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年初预算</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调整后预算数</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预算执行数</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预算执行率</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原因</w:t>
            </w:r>
          </w:p>
        </w:tc>
      </w:tr>
      <w:tr>
        <w:tblPrEx>
          <w:tblCellMar>
            <w:top w:w="0" w:type="dxa"/>
            <w:left w:w="108" w:type="dxa"/>
            <w:bottom w:w="0" w:type="dxa"/>
            <w:right w:w="108" w:type="dxa"/>
          </w:tblCellMar>
        </w:tblPrEx>
        <w:trPr>
          <w:trHeight w:val="387"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总额</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2,319.22</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2,319.22</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2,319.22</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10</w:t>
            </w:r>
          </w:p>
        </w:tc>
        <w:tc>
          <w:tcPr>
            <w:tcW w:w="974"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Courier New" w:hAnsi="Courier New" w:cs="Courier New"/>
                <w:i/>
                <w:iCs/>
                <w:color w:val="000000"/>
                <w:kern w:val="0"/>
                <w:sz w:val="18"/>
                <w:szCs w:val="18"/>
              </w:rPr>
            </w:pPr>
            <w:r>
              <w:rPr>
                <w:rFonts w:ascii="Courier New" w:hAnsi="Courier New" w:cs="Courier New"/>
                <w:i/>
                <w:iCs/>
                <w:color w:val="000000"/>
                <w:kern w:val="0"/>
                <w:sz w:val="18"/>
                <w:szCs w:val="18"/>
              </w:rPr>
              <w:t>　</w:t>
            </w:r>
          </w:p>
        </w:tc>
      </w:tr>
      <w:tr>
        <w:tblPrEx>
          <w:tblCellMar>
            <w:top w:w="0" w:type="dxa"/>
            <w:left w:w="108" w:type="dxa"/>
            <w:bottom w:w="0" w:type="dxa"/>
            <w:right w:w="108" w:type="dxa"/>
          </w:tblCellMar>
        </w:tblPrEx>
        <w:trPr>
          <w:trHeight w:val="432"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其中：财政资金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2,075.50</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2,075.50</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2,075.50</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447"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财政专户管理资金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243.72</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243.72</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243.72</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402"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单位资金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379"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其他资金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454" w:hRule="atLeast"/>
          <w:jc w:val="center"/>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绩效指标（90分）</w:t>
            </w: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一级指标</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二级指标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三级指标</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指标性质</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指标值</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度量单位</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完成值</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未完成原因分析</w:t>
            </w:r>
          </w:p>
        </w:tc>
      </w:tr>
      <w:tr>
        <w:tblPrEx>
          <w:tblCellMar>
            <w:top w:w="0" w:type="dxa"/>
            <w:left w:w="108" w:type="dxa"/>
            <w:bottom w:w="0" w:type="dxa"/>
            <w:right w:w="108" w:type="dxa"/>
          </w:tblCellMar>
        </w:tblPrEx>
        <w:trPr>
          <w:trHeight w:val="338"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产出指标</w:t>
            </w:r>
          </w:p>
        </w:tc>
        <w:tc>
          <w:tcPr>
            <w:tcW w:w="1238"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足额保障率</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lang w:val="en-US" w:eastAsia="zh-CN"/>
              </w:rPr>
              <w:t>100</w:t>
            </w:r>
            <w:r>
              <w:rPr>
                <w:rFonts w:hint="eastAsia" w:ascii="微软雅黑" w:hAnsi="微软雅黑" w:eastAsia="微软雅黑" w:cs="宋体"/>
                <w:i/>
                <w:iCs/>
                <w:color w:val="000000"/>
                <w:kern w:val="0"/>
                <w:sz w:val="16"/>
                <w:szCs w:val="16"/>
              </w:rPr>
              <w:t>　</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22.5</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22.5</w:t>
            </w:r>
            <w:r>
              <w:rPr>
                <w:rFonts w:hint="eastAsia" w:ascii="宋体" w:hAnsi="宋体" w:cs="宋体"/>
                <w:color w:val="000000"/>
                <w:kern w:val="0"/>
                <w:sz w:val="18"/>
                <w:szCs w:val="18"/>
              </w:rPr>
              <w:t>　</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338"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38"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科目调整次数</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次</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lang w:val="en-US" w:eastAsia="zh-CN"/>
              </w:rPr>
              <w:t>0</w:t>
            </w:r>
            <w:r>
              <w:rPr>
                <w:rFonts w:hint="eastAsia" w:ascii="微软雅黑" w:hAnsi="微软雅黑" w:eastAsia="微软雅黑" w:cs="宋体"/>
                <w:i/>
                <w:iCs/>
                <w:color w:val="000000"/>
                <w:kern w:val="0"/>
                <w:sz w:val="16"/>
                <w:szCs w:val="16"/>
              </w:rPr>
              <w:t>　</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22.5</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22.5</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338"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按时发放率</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lang w:val="en-US" w:eastAsia="zh-CN"/>
              </w:rPr>
              <w:t>100</w:t>
            </w:r>
            <w:r>
              <w:rPr>
                <w:rFonts w:hint="eastAsia" w:ascii="微软雅黑" w:hAnsi="微软雅黑" w:eastAsia="微软雅黑" w:cs="宋体"/>
                <w:i/>
                <w:iCs/>
                <w:color w:val="000000"/>
                <w:kern w:val="0"/>
                <w:sz w:val="16"/>
                <w:szCs w:val="16"/>
              </w:rPr>
              <w:t>　</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22.5</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22.5</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454"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效益指标</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经济效益指标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结余率（计算方法为：结余数/预算数）</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lang w:val="en-US" w:eastAsia="zh-CN"/>
              </w:rPr>
              <w:t>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22.5</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22.5</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285" w:hRule="atLeast"/>
          <w:jc w:val="center"/>
        </w:trPr>
        <w:tc>
          <w:tcPr>
            <w:tcW w:w="779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合计</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576"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lang w:val="en-US" w:eastAsia="zh-CN"/>
              </w:rPr>
              <w:t>100</w:t>
            </w:r>
            <w:r>
              <w:rPr>
                <w:rFonts w:hint="eastAsia" w:ascii="宋体" w:hAnsi="宋体" w:cs="宋体"/>
                <w:color w:val="000000"/>
                <w:kern w:val="0"/>
                <w:sz w:val="18"/>
                <w:szCs w:val="18"/>
              </w:rPr>
              <w:t>　</w:t>
            </w:r>
          </w:p>
        </w:tc>
        <w:tc>
          <w:tcPr>
            <w:tcW w:w="974"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r>
      <w:tr>
        <w:tblPrEx>
          <w:tblCellMar>
            <w:top w:w="0" w:type="dxa"/>
            <w:left w:w="108" w:type="dxa"/>
            <w:bottom w:w="0" w:type="dxa"/>
            <w:right w:w="108" w:type="dxa"/>
          </w:tblCellMar>
        </w:tblPrEx>
        <w:trPr>
          <w:trHeight w:val="604" w:hRule="atLeast"/>
          <w:jc w:val="center"/>
        </w:trPr>
        <w:tc>
          <w:tcPr>
            <w:tcW w:w="576"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评价结论</w:t>
            </w:r>
          </w:p>
        </w:tc>
        <w:tc>
          <w:tcPr>
            <w:tcW w:w="9344"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hint="eastAsia" w:ascii="微软雅黑" w:hAnsi="微软雅黑" w:eastAsia="微软雅黑" w:cs="宋体"/>
                <w:i/>
                <w:iCs/>
                <w:color w:val="000000"/>
                <w:kern w:val="0"/>
                <w:sz w:val="16"/>
                <w:szCs w:val="16"/>
                <w:lang w:eastAsia="zh-CN"/>
              </w:rPr>
            </w:pPr>
            <w:r>
              <w:rPr>
                <w:rFonts w:hint="eastAsia" w:ascii="宋体" w:hAnsi="宋体" w:cs="宋体"/>
                <w:color w:val="000000"/>
                <w:kern w:val="0"/>
                <w:sz w:val="18"/>
                <w:szCs w:val="18"/>
                <w:lang w:eastAsia="zh-CN"/>
              </w:rPr>
              <w:t>完成</w:t>
            </w:r>
          </w:p>
        </w:tc>
      </w:tr>
      <w:tr>
        <w:tblPrEx>
          <w:tblCellMar>
            <w:top w:w="0" w:type="dxa"/>
            <w:left w:w="108" w:type="dxa"/>
            <w:bottom w:w="0" w:type="dxa"/>
            <w:right w:w="108" w:type="dxa"/>
          </w:tblCellMar>
        </w:tblPrEx>
        <w:trPr>
          <w:trHeight w:val="574" w:hRule="atLeast"/>
          <w:jc w:val="center"/>
        </w:trPr>
        <w:tc>
          <w:tcPr>
            <w:tcW w:w="576"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存在问题</w:t>
            </w:r>
          </w:p>
        </w:tc>
        <w:tc>
          <w:tcPr>
            <w:tcW w:w="9344"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i/>
                <w:iCs/>
                <w:color w:val="000000"/>
                <w:kern w:val="0"/>
                <w:sz w:val="16"/>
                <w:szCs w:val="16"/>
              </w:rPr>
            </w:pPr>
          </w:p>
        </w:tc>
      </w:tr>
      <w:tr>
        <w:tblPrEx>
          <w:tblCellMar>
            <w:top w:w="0" w:type="dxa"/>
            <w:left w:w="108" w:type="dxa"/>
            <w:bottom w:w="0" w:type="dxa"/>
            <w:right w:w="108" w:type="dxa"/>
          </w:tblCellMar>
        </w:tblPrEx>
        <w:trPr>
          <w:trHeight w:val="634" w:hRule="atLeast"/>
          <w:jc w:val="center"/>
        </w:trPr>
        <w:tc>
          <w:tcPr>
            <w:tcW w:w="576"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改进措施</w:t>
            </w:r>
          </w:p>
        </w:tc>
        <w:tc>
          <w:tcPr>
            <w:tcW w:w="9344"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i/>
                <w:iCs/>
                <w:color w:val="000000"/>
                <w:kern w:val="0"/>
                <w:sz w:val="16"/>
                <w:szCs w:val="16"/>
              </w:rPr>
            </w:pPr>
          </w:p>
        </w:tc>
      </w:tr>
      <w:tr>
        <w:tblPrEx>
          <w:tblCellMar>
            <w:top w:w="0" w:type="dxa"/>
            <w:left w:w="108" w:type="dxa"/>
            <w:bottom w:w="0" w:type="dxa"/>
            <w:right w:w="108" w:type="dxa"/>
          </w:tblCellMar>
        </w:tblPrEx>
        <w:trPr>
          <w:trHeight w:val="285" w:hRule="atLeast"/>
          <w:jc w:val="center"/>
        </w:trPr>
        <w:tc>
          <w:tcPr>
            <w:tcW w:w="520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hint="eastAsia" w:ascii="Courier New" w:hAnsi="Courier New" w:eastAsia="宋体" w:cs="Courier New"/>
                <w:color w:val="000000"/>
                <w:kern w:val="0"/>
                <w:sz w:val="18"/>
                <w:szCs w:val="18"/>
                <w:lang w:eastAsia="zh-CN"/>
              </w:rPr>
            </w:pPr>
            <w:r>
              <w:rPr>
                <w:rFonts w:hint="eastAsia" w:ascii="Courier New" w:hAnsi="Courier New" w:cs="Courier New"/>
                <w:color w:val="000000"/>
                <w:kern w:val="0"/>
                <w:sz w:val="18"/>
                <w:szCs w:val="18"/>
                <w:lang w:eastAsia="zh-CN"/>
              </w:rPr>
              <w:t>项目负责人：黄丽梅</w:t>
            </w:r>
          </w:p>
        </w:tc>
        <w:tc>
          <w:tcPr>
            <w:tcW w:w="4719" w:type="dxa"/>
            <w:gridSpan w:val="6"/>
            <w:tcBorders>
              <w:top w:val="single" w:color="000000" w:sz="4" w:space="0"/>
              <w:left w:val="nil"/>
              <w:bottom w:val="single" w:color="000000" w:sz="4" w:space="0"/>
              <w:right w:val="single" w:color="000000" w:sz="4" w:space="0"/>
            </w:tcBorders>
            <w:shd w:val="clear" w:color="auto" w:fill="auto"/>
            <w:vAlign w:val="center"/>
          </w:tcPr>
          <w:p>
            <w:pPr>
              <w:widowControl/>
              <w:jc w:val="left"/>
              <w:rPr>
                <w:rFonts w:hint="eastAsia" w:ascii="Courier New" w:hAnsi="Courier New" w:eastAsia="宋体" w:cs="Courier New"/>
                <w:color w:val="000000"/>
                <w:kern w:val="0"/>
                <w:sz w:val="18"/>
                <w:szCs w:val="18"/>
                <w:lang w:eastAsia="zh-CN"/>
              </w:rPr>
            </w:pPr>
            <w:r>
              <w:rPr>
                <w:rFonts w:hint="eastAsia" w:ascii="Courier New" w:hAnsi="Courier New" w:cs="Courier New"/>
                <w:color w:val="000000"/>
                <w:kern w:val="0"/>
                <w:sz w:val="18"/>
                <w:szCs w:val="18"/>
                <w:lang w:eastAsia="zh-CN"/>
              </w:rPr>
              <w:t>财务负责人：靳能泉</w:t>
            </w:r>
          </w:p>
        </w:tc>
      </w:tr>
      <w:tr>
        <w:tblPrEx>
          <w:tblCellMar>
            <w:top w:w="0" w:type="dxa"/>
            <w:left w:w="108" w:type="dxa"/>
            <w:bottom w:w="0" w:type="dxa"/>
            <w:right w:w="108" w:type="dxa"/>
          </w:tblCellMar>
        </w:tblPrEx>
        <w:trPr>
          <w:trHeight w:val="285" w:hRule="atLeast"/>
          <w:jc w:val="center"/>
        </w:trPr>
        <w:tc>
          <w:tcPr>
            <w:tcW w:w="576"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1049"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1238"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1793"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545"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846" w:type="dxa"/>
            <w:tcBorders>
              <w:top w:val="nil"/>
              <w:left w:val="nil"/>
              <w:bottom w:val="nil"/>
              <w:right w:val="nil"/>
            </w:tcBorders>
            <w:shd w:val="clear" w:color="auto" w:fill="auto"/>
            <w:vAlign w:val="center"/>
          </w:tcPr>
          <w:p>
            <w:pPr>
              <w:widowControl/>
              <w:jc w:val="left"/>
              <w:rPr>
                <w:rFonts w:hint="eastAsia" w:ascii="宋体" w:hAnsi="宋体" w:cs="宋体"/>
                <w:kern w:val="0"/>
                <w:sz w:val="18"/>
                <w:szCs w:val="18"/>
              </w:rPr>
            </w:pPr>
            <w:r>
              <w:rPr>
                <w:rFonts w:hint="eastAsia" w:ascii="宋体" w:hAnsi="宋体" w:cs="宋体"/>
                <w:kern w:val="0"/>
                <w:sz w:val="18"/>
                <w:szCs w:val="18"/>
              </w:rPr>
              <w:t>　</w:t>
            </w:r>
          </w:p>
          <w:p>
            <w:pPr>
              <w:pStyle w:val="2"/>
              <w:spacing w:before="93"/>
            </w:pPr>
          </w:p>
        </w:tc>
        <w:tc>
          <w:tcPr>
            <w:tcW w:w="756"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991"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576"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576"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974"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r>
      <w:tr>
        <w:trPr>
          <w:trHeight w:val="904" w:hRule="atLeast"/>
          <w:jc w:val="center"/>
        </w:trPr>
        <w:tc>
          <w:tcPr>
            <w:tcW w:w="99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黑体" w:hAnsi="黑体" w:eastAsia="黑体" w:cs="宋体"/>
                <w:b/>
                <w:bCs/>
                <w:color w:val="000000"/>
                <w:kern w:val="0"/>
                <w:sz w:val="30"/>
                <w:szCs w:val="30"/>
              </w:rPr>
            </w:pPr>
            <w:r>
              <w:rPr>
                <w:rFonts w:hint="eastAsia" w:ascii="黑体" w:hAnsi="黑体" w:eastAsia="黑体" w:cs="宋体"/>
                <w:b/>
                <w:bCs/>
                <w:color w:val="000000"/>
                <w:kern w:val="0"/>
                <w:sz w:val="30"/>
                <w:szCs w:val="30"/>
              </w:rPr>
              <w:t>部门预算项目支出绩效自评表（2022年度）</w:t>
            </w:r>
          </w:p>
        </w:tc>
      </w:tr>
      <w:tr>
        <w:tblPrEx>
          <w:tblCellMar>
            <w:top w:w="0" w:type="dxa"/>
            <w:left w:w="108" w:type="dxa"/>
            <w:bottom w:w="0" w:type="dxa"/>
            <w:right w:w="108" w:type="dxa"/>
          </w:tblCellMar>
        </w:tblPrEx>
        <w:trPr>
          <w:trHeight w:val="285" w:hRule="atLeast"/>
          <w:jc w:val="center"/>
        </w:trPr>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项目名称</w:t>
            </w:r>
          </w:p>
        </w:tc>
        <w:tc>
          <w:tcPr>
            <w:tcW w:w="8295" w:type="dxa"/>
            <w:gridSpan w:val="9"/>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51000022T000004677332-学生资助补助经费</w:t>
            </w:r>
          </w:p>
        </w:tc>
      </w:tr>
      <w:tr>
        <w:tblPrEx>
          <w:tblCellMar>
            <w:top w:w="0" w:type="dxa"/>
            <w:left w:w="108" w:type="dxa"/>
            <w:bottom w:w="0" w:type="dxa"/>
            <w:right w:w="108" w:type="dxa"/>
          </w:tblCellMar>
        </w:tblPrEx>
        <w:trPr>
          <w:trHeight w:val="514" w:hRule="atLeast"/>
          <w:jc w:val="center"/>
        </w:trPr>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主管部门</w:t>
            </w:r>
          </w:p>
        </w:tc>
        <w:tc>
          <w:tcPr>
            <w:tcW w:w="5178"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四川省教育厅部门</w:t>
            </w:r>
          </w:p>
        </w:tc>
        <w:tc>
          <w:tcPr>
            <w:tcW w:w="991" w:type="dxa"/>
            <w:tcBorders>
              <w:top w:val="nil"/>
              <w:left w:val="nil"/>
              <w:bottom w:val="nil"/>
              <w:right w:val="nil"/>
            </w:tcBorders>
            <w:shd w:val="clear" w:color="auto" w:fill="auto"/>
            <w:vAlign w:val="center"/>
          </w:tcPr>
          <w:p>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实施单位 （盖章）</w:t>
            </w:r>
          </w:p>
        </w:tc>
        <w:tc>
          <w:tcPr>
            <w:tcW w:w="21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四川文理学院</w:t>
            </w:r>
          </w:p>
        </w:tc>
      </w:tr>
      <w:tr>
        <w:trPr>
          <w:trHeight w:val="285" w:hRule="atLeast"/>
          <w:jc w:val="center"/>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项目基本情况</w:t>
            </w:r>
          </w:p>
        </w:tc>
        <w:tc>
          <w:tcPr>
            <w:tcW w:w="1049"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1.项目年度目标完成情况</w:t>
            </w:r>
          </w:p>
        </w:tc>
        <w:tc>
          <w:tcPr>
            <w:tcW w:w="5178"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项目年度目标</w:t>
            </w:r>
          </w:p>
        </w:tc>
        <w:tc>
          <w:tcPr>
            <w:tcW w:w="3117" w:type="dxa"/>
            <w:gridSpan w:val="4"/>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Courier New" w:hAnsi="Courier New" w:cs="Courier New"/>
                <w:color w:val="000000"/>
                <w:kern w:val="0"/>
                <w:sz w:val="18"/>
                <w:szCs w:val="18"/>
              </w:rPr>
            </w:pPr>
            <w:r>
              <w:rPr>
                <w:rFonts w:ascii="Courier New" w:hAnsi="Courier New" w:cs="Courier New"/>
                <w:color w:val="000000"/>
                <w:kern w:val="0"/>
                <w:sz w:val="18"/>
                <w:szCs w:val="18"/>
              </w:rPr>
              <w:t>年度目标完成情况</w:t>
            </w:r>
          </w:p>
        </w:tc>
      </w:tr>
      <w:tr>
        <w:tblPrEx>
          <w:tblCellMar>
            <w:top w:w="0" w:type="dxa"/>
            <w:left w:w="108" w:type="dxa"/>
            <w:bottom w:w="0" w:type="dxa"/>
            <w:right w:w="108" w:type="dxa"/>
          </w:tblCellMar>
        </w:tblPrEx>
        <w:trPr>
          <w:trHeight w:val="709"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5178"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根据教育厅要求按时发放国家奖学金、国家励志奖学金、国家助学金、学生应征入伍补助等</w:t>
            </w:r>
          </w:p>
        </w:tc>
        <w:tc>
          <w:tcPr>
            <w:tcW w:w="3117" w:type="dxa"/>
            <w:gridSpan w:val="4"/>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　</w:t>
            </w:r>
            <w:r>
              <w:rPr>
                <w:rFonts w:hint="eastAsia" w:ascii="Courier New" w:hAnsi="Courier New" w:cs="Courier New"/>
                <w:color w:val="000000"/>
                <w:kern w:val="0"/>
                <w:sz w:val="18"/>
                <w:szCs w:val="18"/>
                <w:lang w:eastAsia="zh-CN"/>
              </w:rPr>
              <w:t>完成</w:t>
            </w:r>
          </w:p>
        </w:tc>
      </w:tr>
      <w:tr>
        <w:tblPrEx>
          <w:tblCellMar>
            <w:top w:w="0" w:type="dxa"/>
            <w:left w:w="108" w:type="dxa"/>
            <w:bottom w:w="0" w:type="dxa"/>
            <w:right w:w="108" w:type="dxa"/>
          </w:tblCellMar>
        </w:tblPrEx>
        <w:trPr>
          <w:trHeight w:val="694"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2.项目实施内容及过程概述</w:t>
            </w:r>
          </w:p>
        </w:tc>
        <w:tc>
          <w:tcPr>
            <w:tcW w:w="8295" w:type="dxa"/>
            <w:gridSpan w:val="9"/>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按时发放国家奖学金、国家励志奖学金、国家助学金、学生应征入伍补助</w:t>
            </w:r>
          </w:p>
        </w:tc>
      </w:tr>
      <w:tr>
        <w:tblPrEx>
          <w:tblCellMar>
            <w:top w:w="0" w:type="dxa"/>
            <w:left w:w="108" w:type="dxa"/>
            <w:bottom w:w="0" w:type="dxa"/>
            <w:right w:w="108" w:type="dxa"/>
          </w:tblCellMar>
        </w:tblPrEx>
        <w:trPr>
          <w:trHeight w:val="360" w:hRule="atLeast"/>
          <w:jc w:val="center"/>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预算执行情况（10分）</w:t>
            </w: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年度预算数（万元）</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年初预算</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调整后预算数</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预算执行数</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预算执行率</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原因</w:t>
            </w:r>
          </w:p>
        </w:tc>
      </w:tr>
      <w:tr>
        <w:tblPrEx>
          <w:tblCellMar>
            <w:top w:w="0" w:type="dxa"/>
            <w:left w:w="108" w:type="dxa"/>
            <w:bottom w:w="0" w:type="dxa"/>
            <w:right w:w="108" w:type="dxa"/>
          </w:tblCellMar>
        </w:tblPrEx>
        <w:trPr>
          <w:trHeight w:val="387"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总额</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149.88</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149.88</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10</w:t>
            </w:r>
            <w:r>
              <w:rPr>
                <w:rFonts w:hint="eastAsia" w:ascii="宋体" w:hAnsi="宋体" w:cs="宋体"/>
                <w:color w:val="000000"/>
                <w:kern w:val="0"/>
                <w:sz w:val="18"/>
                <w:szCs w:val="18"/>
              </w:rPr>
              <w:t>　</w:t>
            </w:r>
          </w:p>
        </w:tc>
        <w:tc>
          <w:tcPr>
            <w:tcW w:w="974"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Courier New" w:hAnsi="Courier New" w:cs="Courier New"/>
                <w:i/>
                <w:iCs/>
                <w:color w:val="000000"/>
                <w:kern w:val="0"/>
                <w:sz w:val="18"/>
                <w:szCs w:val="18"/>
              </w:rPr>
            </w:pPr>
            <w:r>
              <w:rPr>
                <w:rFonts w:ascii="Courier New" w:hAnsi="Courier New" w:cs="Courier New"/>
                <w:i/>
                <w:iCs/>
                <w:color w:val="000000"/>
                <w:kern w:val="0"/>
                <w:sz w:val="18"/>
                <w:szCs w:val="18"/>
              </w:rPr>
              <w:t>　</w:t>
            </w:r>
          </w:p>
        </w:tc>
      </w:tr>
      <w:tr>
        <w:tblPrEx>
          <w:tblCellMar>
            <w:top w:w="0" w:type="dxa"/>
            <w:left w:w="108" w:type="dxa"/>
            <w:bottom w:w="0" w:type="dxa"/>
            <w:right w:w="108" w:type="dxa"/>
          </w:tblCellMar>
        </w:tblPrEx>
        <w:trPr>
          <w:trHeight w:val="432"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其中：财政资金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149.88</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149.88</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447"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财政专户管理资金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402"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单位资金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379"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其他资金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454" w:hRule="atLeast"/>
          <w:jc w:val="center"/>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绩效指标（90分）</w:t>
            </w: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一级指标</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二级指标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三级指标</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指标性质</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指标值</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度量单位</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完成值</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未完成原因分析</w:t>
            </w:r>
          </w:p>
        </w:tc>
      </w:tr>
      <w:tr>
        <w:tblPrEx>
          <w:tblCellMar>
            <w:top w:w="0" w:type="dxa"/>
            <w:left w:w="108" w:type="dxa"/>
            <w:bottom w:w="0" w:type="dxa"/>
            <w:right w:w="108" w:type="dxa"/>
          </w:tblCellMar>
        </w:tblPrEx>
        <w:trPr>
          <w:trHeight w:val="338"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产出指标</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数量指标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发放国家奖助学金、服兵役资助金　</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140</w:t>
            </w:r>
            <w:r>
              <w:rPr>
                <w:rFonts w:hint="eastAsia" w:ascii="宋体" w:hAnsi="宋体" w:cs="宋体"/>
                <w:color w:val="000000"/>
                <w:kern w:val="0"/>
                <w:sz w:val="18"/>
                <w:szCs w:val="18"/>
              </w:rPr>
              <w:t>　</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eastAsia="zh-CN"/>
              </w:rPr>
              <w:t>万</w:t>
            </w:r>
            <w:r>
              <w:rPr>
                <w:rFonts w:hint="eastAsia" w:ascii="宋体" w:hAnsi="宋体" w:cs="宋体"/>
                <w:color w:val="000000"/>
                <w:kern w:val="0"/>
                <w:sz w:val="18"/>
                <w:szCs w:val="18"/>
              </w:rPr>
              <w:t>　</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hint="default" w:ascii="微软雅黑" w:hAnsi="微软雅黑" w:eastAsia="微软雅黑" w:cs="宋体"/>
                <w:i/>
                <w:iCs/>
                <w:color w:val="000000"/>
                <w:kern w:val="0"/>
                <w:sz w:val="16"/>
                <w:szCs w:val="16"/>
                <w:lang w:val="en-US" w:eastAsia="zh-CN"/>
              </w:rPr>
            </w:pPr>
            <w:r>
              <w:rPr>
                <w:rFonts w:hint="eastAsia" w:ascii="微软雅黑" w:hAnsi="微软雅黑" w:eastAsia="微软雅黑" w:cs="宋体"/>
                <w:i/>
                <w:iCs/>
                <w:color w:val="000000"/>
                <w:kern w:val="0"/>
                <w:sz w:val="16"/>
                <w:szCs w:val="16"/>
              </w:rPr>
              <w:t>　</w:t>
            </w:r>
            <w:r>
              <w:rPr>
                <w:rFonts w:hint="eastAsia" w:ascii="微软雅黑" w:hAnsi="微软雅黑" w:eastAsia="微软雅黑" w:cs="宋体"/>
                <w:i/>
                <w:iCs/>
                <w:color w:val="000000"/>
                <w:kern w:val="0"/>
                <w:sz w:val="16"/>
                <w:szCs w:val="16"/>
                <w:lang w:val="en-US" w:eastAsia="zh-CN"/>
              </w:rPr>
              <w:t>140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90</w:t>
            </w:r>
            <w:r>
              <w:rPr>
                <w:rFonts w:hint="eastAsia" w:ascii="宋体" w:hAnsi="宋体" w:cs="宋体"/>
                <w:color w:val="000000"/>
                <w:kern w:val="0"/>
                <w:sz w:val="18"/>
                <w:szCs w:val="18"/>
              </w:rPr>
              <w:t>　</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90</w:t>
            </w:r>
            <w:r>
              <w:rPr>
                <w:rFonts w:hint="eastAsia" w:ascii="宋体" w:hAnsi="宋体" w:cs="宋体"/>
                <w:color w:val="000000"/>
                <w:kern w:val="0"/>
                <w:sz w:val="18"/>
                <w:szCs w:val="18"/>
              </w:rPr>
              <w:t>　</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285" w:hRule="atLeast"/>
          <w:jc w:val="center"/>
        </w:trPr>
        <w:tc>
          <w:tcPr>
            <w:tcW w:w="779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合计</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576" w:type="dxa"/>
            <w:tcBorders>
              <w:top w:val="nil"/>
              <w:left w:val="nil"/>
              <w:bottom w:val="single" w:color="000000" w:sz="4" w:space="0"/>
              <w:right w:val="single" w:color="000000" w:sz="4" w:space="0"/>
            </w:tcBorders>
            <w:shd w:val="clear" w:color="auto" w:fill="auto"/>
            <w:vAlign w:val="center"/>
          </w:tcPr>
          <w:p>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974"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r>
      <w:tr>
        <w:tblPrEx>
          <w:tblCellMar>
            <w:top w:w="0" w:type="dxa"/>
            <w:left w:w="108" w:type="dxa"/>
            <w:bottom w:w="0" w:type="dxa"/>
            <w:right w:w="108" w:type="dxa"/>
          </w:tblCellMar>
        </w:tblPrEx>
        <w:trPr>
          <w:trHeight w:val="604" w:hRule="atLeast"/>
          <w:jc w:val="center"/>
        </w:trPr>
        <w:tc>
          <w:tcPr>
            <w:tcW w:w="576"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评价结论</w:t>
            </w:r>
          </w:p>
        </w:tc>
        <w:tc>
          <w:tcPr>
            <w:tcW w:w="9344"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hint="eastAsia" w:ascii="微软雅黑" w:hAnsi="微软雅黑" w:eastAsia="微软雅黑" w:cs="宋体"/>
                <w:i/>
                <w:iCs/>
                <w:color w:val="000000"/>
                <w:kern w:val="0"/>
                <w:sz w:val="16"/>
                <w:szCs w:val="16"/>
                <w:lang w:eastAsia="zh-CN"/>
              </w:rPr>
            </w:pPr>
            <w:r>
              <w:rPr>
                <w:rFonts w:hint="eastAsia" w:ascii="宋体" w:hAnsi="宋体" w:cs="宋体"/>
                <w:color w:val="000000"/>
                <w:kern w:val="0"/>
                <w:sz w:val="18"/>
                <w:szCs w:val="18"/>
                <w:lang w:eastAsia="zh-CN"/>
              </w:rPr>
              <w:t>完成</w:t>
            </w:r>
          </w:p>
        </w:tc>
      </w:tr>
      <w:tr>
        <w:tblPrEx>
          <w:tblCellMar>
            <w:top w:w="0" w:type="dxa"/>
            <w:left w:w="108" w:type="dxa"/>
            <w:bottom w:w="0" w:type="dxa"/>
            <w:right w:w="108" w:type="dxa"/>
          </w:tblCellMar>
        </w:tblPrEx>
        <w:trPr>
          <w:trHeight w:val="574" w:hRule="atLeast"/>
          <w:jc w:val="center"/>
        </w:trPr>
        <w:tc>
          <w:tcPr>
            <w:tcW w:w="576"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存在问题</w:t>
            </w:r>
          </w:p>
        </w:tc>
        <w:tc>
          <w:tcPr>
            <w:tcW w:w="9344"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i/>
                <w:iCs/>
                <w:color w:val="000000"/>
                <w:kern w:val="0"/>
                <w:sz w:val="16"/>
                <w:szCs w:val="16"/>
              </w:rPr>
            </w:pPr>
          </w:p>
        </w:tc>
      </w:tr>
      <w:tr>
        <w:tblPrEx>
          <w:tblCellMar>
            <w:top w:w="0" w:type="dxa"/>
            <w:left w:w="108" w:type="dxa"/>
            <w:bottom w:w="0" w:type="dxa"/>
            <w:right w:w="108" w:type="dxa"/>
          </w:tblCellMar>
        </w:tblPrEx>
        <w:trPr>
          <w:trHeight w:val="634" w:hRule="atLeast"/>
          <w:jc w:val="center"/>
        </w:trPr>
        <w:tc>
          <w:tcPr>
            <w:tcW w:w="576"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改进措施</w:t>
            </w:r>
          </w:p>
        </w:tc>
        <w:tc>
          <w:tcPr>
            <w:tcW w:w="9344"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i/>
                <w:iCs/>
                <w:color w:val="000000"/>
                <w:kern w:val="0"/>
                <w:sz w:val="16"/>
                <w:szCs w:val="16"/>
              </w:rPr>
            </w:pPr>
          </w:p>
        </w:tc>
      </w:tr>
      <w:tr>
        <w:tblPrEx>
          <w:tblCellMar>
            <w:top w:w="0" w:type="dxa"/>
            <w:left w:w="108" w:type="dxa"/>
            <w:bottom w:w="0" w:type="dxa"/>
            <w:right w:w="108" w:type="dxa"/>
          </w:tblCellMar>
        </w:tblPrEx>
        <w:trPr>
          <w:trHeight w:val="285" w:hRule="atLeast"/>
          <w:jc w:val="center"/>
        </w:trPr>
        <w:tc>
          <w:tcPr>
            <w:tcW w:w="520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hint="eastAsia" w:ascii="Courier New" w:hAnsi="Courier New" w:eastAsia="宋体" w:cs="Courier New"/>
                <w:color w:val="000000"/>
                <w:kern w:val="0"/>
                <w:sz w:val="18"/>
                <w:szCs w:val="18"/>
                <w:lang w:eastAsia="zh-CN"/>
              </w:rPr>
            </w:pPr>
            <w:r>
              <w:rPr>
                <w:rFonts w:hint="eastAsia" w:ascii="Courier New" w:hAnsi="Courier New" w:cs="Courier New"/>
                <w:color w:val="000000"/>
                <w:kern w:val="0"/>
                <w:sz w:val="18"/>
                <w:szCs w:val="18"/>
                <w:lang w:eastAsia="zh-CN"/>
              </w:rPr>
              <w:t>项目负责人：黄丽梅</w:t>
            </w:r>
          </w:p>
        </w:tc>
        <w:tc>
          <w:tcPr>
            <w:tcW w:w="4719" w:type="dxa"/>
            <w:gridSpan w:val="6"/>
            <w:tcBorders>
              <w:top w:val="single" w:color="000000" w:sz="4" w:space="0"/>
              <w:left w:val="nil"/>
              <w:bottom w:val="single" w:color="000000" w:sz="4" w:space="0"/>
              <w:right w:val="single" w:color="000000" w:sz="4" w:space="0"/>
            </w:tcBorders>
            <w:shd w:val="clear" w:color="auto" w:fill="auto"/>
            <w:vAlign w:val="center"/>
          </w:tcPr>
          <w:p>
            <w:pPr>
              <w:widowControl/>
              <w:jc w:val="left"/>
              <w:rPr>
                <w:rFonts w:hint="eastAsia" w:ascii="Courier New" w:hAnsi="Courier New" w:eastAsia="宋体" w:cs="Courier New"/>
                <w:color w:val="000000"/>
                <w:kern w:val="0"/>
                <w:sz w:val="18"/>
                <w:szCs w:val="18"/>
                <w:lang w:eastAsia="zh-CN"/>
              </w:rPr>
            </w:pPr>
            <w:r>
              <w:rPr>
                <w:rFonts w:hint="eastAsia" w:ascii="Courier New" w:hAnsi="Courier New" w:cs="Courier New"/>
                <w:color w:val="000000"/>
                <w:kern w:val="0"/>
                <w:sz w:val="18"/>
                <w:szCs w:val="18"/>
                <w:lang w:eastAsia="zh-CN"/>
              </w:rPr>
              <w:t>财务负责人：靳能泉</w:t>
            </w:r>
          </w:p>
        </w:tc>
      </w:tr>
      <w:tr>
        <w:tblPrEx>
          <w:tblCellMar>
            <w:top w:w="0" w:type="dxa"/>
            <w:left w:w="108" w:type="dxa"/>
            <w:bottom w:w="0" w:type="dxa"/>
            <w:right w:w="108" w:type="dxa"/>
          </w:tblCellMar>
        </w:tblPrEx>
        <w:trPr>
          <w:trHeight w:val="285" w:hRule="atLeast"/>
          <w:jc w:val="center"/>
        </w:trPr>
        <w:tc>
          <w:tcPr>
            <w:tcW w:w="576"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1049"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1238"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1793"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545" w:type="dxa"/>
            <w:tcBorders>
              <w:top w:val="nil"/>
              <w:left w:val="nil"/>
              <w:bottom w:val="nil"/>
              <w:right w:val="nil"/>
            </w:tcBorders>
            <w:shd w:val="clear" w:color="auto" w:fill="auto"/>
            <w:vAlign w:val="center"/>
          </w:tcPr>
          <w:p>
            <w:pPr>
              <w:widowControl/>
              <w:jc w:val="left"/>
              <w:rPr>
                <w:rFonts w:hint="eastAsia" w:ascii="宋体" w:hAnsi="宋体" w:cs="宋体"/>
                <w:kern w:val="0"/>
                <w:sz w:val="18"/>
                <w:szCs w:val="18"/>
              </w:rPr>
            </w:pPr>
            <w:r>
              <w:rPr>
                <w:rFonts w:hint="eastAsia" w:ascii="宋体" w:hAnsi="宋体" w:cs="宋体"/>
                <w:kern w:val="0"/>
                <w:sz w:val="18"/>
                <w:szCs w:val="18"/>
              </w:rPr>
              <w:t>　</w:t>
            </w:r>
          </w:p>
          <w:p>
            <w:pPr>
              <w:pStyle w:val="2"/>
              <w:spacing w:before="93"/>
              <w:rPr>
                <w:rFonts w:hint="eastAsia"/>
              </w:rPr>
            </w:pPr>
          </w:p>
          <w:p>
            <w:pPr>
              <w:pStyle w:val="2"/>
              <w:spacing w:before="93"/>
              <w:rPr>
                <w:rFonts w:hint="eastAsia"/>
              </w:rPr>
            </w:pPr>
          </w:p>
          <w:p>
            <w:pPr>
              <w:pStyle w:val="2"/>
              <w:spacing w:before="93"/>
            </w:pPr>
          </w:p>
        </w:tc>
        <w:tc>
          <w:tcPr>
            <w:tcW w:w="846"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756"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991"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576"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576"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974"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r>
      <w:tr>
        <w:trPr>
          <w:trHeight w:val="904" w:hRule="atLeast"/>
          <w:jc w:val="center"/>
        </w:trPr>
        <w:tc>
          <w:tcPr>
            <w:tcW w:w="99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黑体" w:hAnsi="黑体" w:eastAsia="黑体" w:cs="宋体"/>
                <w:b/>
                <w:bCs/>
                <w:color w:val="000000"/>
                <w:kern w:val="0"/>
                <w:sz w:val="30"/>
                <w:szCs w:val="30"/>
              </w:rPr>
            </w:pPr>
            <w:r>
              <w:rPr>
                <w:rFonts w:hint="eastAsia" w:ascii="黑体" w:hAnsi="黑体" w:eastAsia="黑体" w:cs="宋体"/>
                <w:b/>
                <w:bCs/>
                <w:color w:val="000000"/>
                <w:kern w:val="0"/>
                <w:sz w:val="30"/>
                <w:szCs w:val="30"/>
              </w:rPr>
              <w:t>部门预算项目支出绩效自评表（2022年度）</w:t>
            </w:r>
          </w:p>
        </w:tc>
      </w:tr>
      <w:tr>
        <w:tblPrEx>
          <w:tblCellMar>
            <w:top w:w="0" w:type="dxa"/>
            <w:left w:w="108" w:type="dxa"/>
            <w:bottom w:w="0" w:type="dxa"/>
            <w:right w:w="108" w:type="dxa"/>
          </w:tblCellMar>
        </w:tblPrEx>
        <w:trPr>
          <w:trHeight w:val="285" w:hRule="atLeast"/>
          <w:jc w:val="center"/>
        </w:trPr>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项目名称</w:t>
            </w:r>
          </w:p>
        </w:tc>
        <w:tc>
          <w:tcPr>
            <w:tcW w:w="8295" w:type="dxa"/>
            <w:gridSpan w:val="9"/>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51000022T000004677365-支持地方高校改革发展资金</w:t>
            </w:r>
          </w:p>
        </w:tc>
      </w:tr>
      <w:tr>
        <w:tblPrEx>
          <w:tblCellMar>
            <w:top w:w="0" w:type="dxa"/>
            <w:left w:w="108" w:type="dxa"/>
            <w:bottom w:w="0" w:type="dxa"/>
            <w:right w:w="108" w:type="dxa"/>
          </w:tblCellMar>
        </w:tblPrEx>
        <w:trPr>
          <w:trHeight w:val="514" w:hRule="atLeast"/>
          <w:jc w:val="center"/>
        </w:trPr>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主管部门</w:t>
            </w:r>
          </w:p>
        </w:tc>
        <w:tc>
          <w:tcPr>
            <w:tcW w:w="5178"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四川省教育厅部门</w:t>
            </w:r>
          </w:p>
        </w:tc>
        <w:tc>
          <w:tcPr>
            <w:tcW w:w="991" w:type="dxa"/>
            <w:tcBorders>
              <w:top w:val="nil"/>
              <w:left w:val="nil"/>
              <w:bottom w:val="nil"/>
              <w:right w:val="nil"/>
            </w:tcBorders>
            <w:shd w:val="clear" w:color="auto" w:fill="auto"/>
            <w:vAlign w:val="center"/>
          </w:tcPr>
          <w:p>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实施单位 （盖章）</w:t>
            </w:r>
          </w:p>
        </w:tc>
        <w:tc>
          <w:tcPr>
            <w:tcW w:w="21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四川文理学院</w:t>
            </w:r>
          </w:p>
        </w:tc>
      </w:tr>
      <w:tr>
        <w:trPr>
          <w:trHeight w:val="285" w:hRule="atLeast"/>
          <w:jc w:val="center"/>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项目基本情况</w:t>
            </w:r>
          </w:p>
        </w:tc>
        <w:tc>
          <w:tcPr>
            <w:tcW w:w="1049"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1.项目年度目标完成情况</w:t>
            </w:r>
          </w:p>
        </w:tc>
        <w:tc>
          <w:tcPr>
            <w:tcW w:w="5178"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项目年度目标</w:t>
            </w:r>
          </w:p>
        </w:tc>
        <w:tc>
          <w:tcPr>
            <w:tcW w:w="3117" w:type="dxa"/>
            <w:gridSpan w:val="4"/>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Courier New" w:hAnsi="Courier New" w:cs="Courier New"/>
                <w:color w:val="000000"/>
                <w:kern w:val="0"/>
                <w:sz w:val="18"/>
                <w:szCs w:val="18"/>
              </w:rPr>
            </w:pPr>
            <w:r>
              <w:rPr>
                <w:rFonts w:ascii="Courier New" w:hAnsi="Courier New" w:cs="Courier New"/>
                <w:color w:val="000000"/>
                <w:kern w:val="0"/>
                <w:sz w:val="18"/>
                <w:szCs w:val="18"/>
              </w:rPr>
              <w:t>年度目标完成情况</w:t>
            </w:r>
          </w:p>
        </w:tc>
      </w:tr>
      <w:tr>
        <w:tblPrEx>
          <w:tblCellMar>
            <w:top w:w="0" w:type="dxa"/>
            <w:left w:w="108" w:type="dxa"/>
            <w:bottom w:w="0" w:type="dxa"/>
            <w:right w:w="108" w:type="dxa"/>
          </w:tblCellMar>
        </w:tblPrEx>
        <w:trPr>
          <w:trHeight w:val="709"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5178"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通过建设学校师范生教学技能实验室和引进高层次人才，改善学校办学条件、促进学校事业整体发展。</w:t>
            </w:r>
          </w:p>
        </w:tc>
        <w:tc>
          <w:tcPr>
            <w:tcW w:w="3117" w:type="dxa"/>
            <w:gridSpan w:val="4"/>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　</w:t>
            </w:r>
            <w:r>
              <w:rPr>
                <w:rFonts w:hint="eastAsia" w:ascii="Courier New" w:hAnsi="Courier New" w:cs="Courier New"/>
                <w:color w:val="000000"/>
                <w:kern w:val="0"/>
                <w:sz w:val="18"/>
                <w:szCs w:val="18"/>
                <w:lang w:eastAsia="zh-CN"/>
              </w:rPr>
              <w:t>完成</w:t>
            </w:r>
          </w:p>
        </w:tc>
      </w:tr>
      <w:tr>
        <w:tblPrEx>
          <w:tblCellMar>
            <w:top w:w="0" w:type="dxa"/>
            <w:left w:w="108" w:type="dxa"/>
            <w:bottom w:w="0" w:type="dxa"/>
            <w:right w:w="108" w:type="dxa"/>
          </w:tblCellMar>
        </w:tblPrEx>
        <w:trPr>
          <w:trHeight w:val="694"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2.项目实施内容及过程概述</w:t>
            </w:r>
          </w:p>
        </w:tc>
        <w:tc>
          <w:tcPr>
            <w:tcW w:w="8295" w:type="dxa"/>
            <w:gridSpan w:val="9"/>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建设学校师范生教学技能实验室和引进高层次人才</w:t>
            </w:r>
          </w:p>
        </w:tc>
      </w:tr>
      <w:tr>
        <w:tblPrEx>
          <w:tblCellMar>
            <w:top w:w="0" w:type="dxa"/>
            <w:left w:w="108" w:type="dxa"/>
            <w:bottom w:w="0" w:type="dxa"/>
            <w:right w:w="108" w:type="dxa"/>
          </w:tblCellMar>
        </w:tblPrEx>
        <w:trPr>
          <w:trHeight w:val="360" w:hRule="atLeast"/>
          <w:jc w:val="center"/>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预算执行情况（10分）</w:t>
            </w: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年度预算数（万元）</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年初预算</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调整后预算数</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预算执行数</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预算执行率</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原因</w:t>
            </w:r>
          </w:p>
        </w:tc>
      </w:tr>
      <w:tr>
        <w:tblPrEx>
          <w:tblCellMar>
            <w:top w:w="0" w:type="dxa"/>
            <w:left w:w="108" w:type="dxa"/>
            <w:bottom w:w="0" w:type="dxa"/>
            <w:right w:w="108" w:type="dxa"/>
          </w:tblCellMar>
        </w:tblPrEx>
        <w:trPr>
          <w:trHeight w:val="387"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总额</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624.00</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624.00</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10</w:t>
            </w:r>
            <w:r>
              <w:rPr>
                <w:rFonts w:hint="eastAsia" w:ascii="宋体" w:hAnsi="宋体" w:cs="宋体"/>
                <w:color w:val="000000"/>
                <w:kern w:val="0"/>
                <w:sz w:val="18"/>
                <w:szCs w:val="18"/>
              </w:rPr>
              <w:t>　</w:t>
            </w:r>
          </w:p>
        </w:tc>
        <w:tc>
          <w:tcPr>
            <w:tcW w:w="974"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Courier New" w:hAnsi="Courier New" w:cs="Courier New"/>
                <w:i/>
                <w:iCs/>
                <w:color w:val="000000"/>
                <w:kern w:val="0"/>
                <w:sz w:val="18"/>
                <w:szCs w:val="18"/>
              </w:rPr>
            </w:pPr>
            <w:r>
              <w:rPr>
                <w:rFonts w:ascii="Courier New" w:hAnsi="Courier New" w:cs="Courier New"/>
                <w:i/>
                <w:iCs/>
                <w:color w:val="000000"/>
                <w:kern w:val="0"/>
                <w:sz w:val="18"/>
                <w:szCs w:val="18"/>
              </w:rPr>
              <w:t>　</w:t>
            </w:r>
          </w:p>
        </w:tc>
      </w:tr>
      <w:tr>
        <w:tblPrEx>
          <w:tblCellMar>
            <w:top w:w="0" w:type="dxa"/>
            <w:left w:w="108" w:type="dxa"/>
            <w:bottom w:w="0" w:type="dxa"/>
            <w:right w:w="108" w:type="dxa"/>
          </w:tblCellMar>
        </w:tblPrEx>
        <w:trPr>
          <w:trHeight w:val="432"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其中：财政资金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624.00</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624.00</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447"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财政专户管理资金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402"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单位资金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379"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其他资金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454" w:hRule="atLeast"/>
          <w:jc w:val="center"/>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绩效指标（90分）</w:t>
            </w: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一级指标</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二级指标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三级指标</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指标性质</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指标值</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度量单位</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完成值</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未完成原因分析</w:t>
            </w:r>
          </w:p>
        </w:tc>
      </w:tr>
      <w:tr>
        <w:tblPrEx>
          <w:tblCellMar>
            <w:top w:w="0" w:type="dxa"/>
            <w:left w:w="108" w:type="dxa"/>
            <w:bottom w:w="0" w:type="dxa"/>
            <w:right w:w="108" w:type="dxa"/>
          </w:tblCellMar>
        </w:tblPrEx>
        <w:trPr>
          <w:trHeight w:val="454"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产出指标</w:t>
            </w:r>
          </w:p>
        </w:tc>
        <w:tc>
          <w:tcPr>
            <w:tcW w:w="1238"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建成师范技能实验室</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个（套）</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hint="eastAsia" w:ascii="微软雅黑" w:hAnsi="微软雅黑" w:eastAsia="微软雅黑" w:cs="宋体"/>
                <w:i/>
                <w:iCs/>
                <w:color w:val="000000"/>
                <w:kern w:val="0"/>
                <w:sz w:val="16"/>
                <w:szCs w:val="16"/>
                <w:lang w:val="en-US" w:eastAsia="zh-CN"/>
              </w:rPr>
            </w:pPr>
            <w:r>
              <w:rPr>
                <w:rFonts w:hint="eastAsia" w:ascii="微软雅黑" w:hAnsi="微软雅黑" w:eastAsia="微软雅黑" w:cs="宋体"/>
                <w:i/>
                <w:iCs/>
                <w:color w:val="000000"/>
                <w:kern w:val="0"/>
                <w:sz w:val="16"/>
                <w:szCs w:val="16"/>
              </w:rPr>
              <w:t>　</w:t>
            </w:r>
            <w:r>
              <w:rPr>
                <w:rFonts w:hint="eastAsia" w:ascii="微软雅黑" w:hAnsi="微软雅黑" w:eastAsia="微软雅黑" w:cs="宋体"/>
                <w:i/>
                <w:iCs/>
                <w:color w:val="000000"/>
                <w:kern w:val="0"/>
                <w:sz w:val="16"/>
                <w:szCs w:val="16"/>
                <w:lang w:val="en-US" w:eastAsia="zh-CN"/>
              </w:rPr>
              <w:t>1</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20</w:t>
            </w:r>
            <w:r>
              <w:rPr>
                <w:rFonts w:hint="eastAsia" w:ascii="宋体" w:hAnsi="宋体" w:cs="宋体"/>
                <w:color w:val="000000"/>
                <w:kern w:val="0"/>
                <w:sz w:val="18"/>
                <w:szCs w:val="18"/>
              </w:rPr>
              <w:t>　</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338"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38"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引进高层次人才数量</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lang w:val="en-US" w:eastAsia="zh-CN"/>
              </w:rPr>
              <w:t>10</w:t>
            </w:r>
            <w:r>
              <w:rPr>
                <w:rFonts w:hint="eastAsia" w:ascii="微软雅黑" w:hAnsi="微软雅黑" w:eastAsia="微软雅黑" w:cs="宋体"/>
                <w:i/>
                <w:iCs/>
                <w:color w:val="000000"/>
                <w:kern w:val="0"/>
                <w:sz w:val="16"/>
                <w:szCs w:val="16"/>
              </w:rPr>
              <w:t>　</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20</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338"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设备合格率</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高中低</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lang w:eastAsia="zh-CN"/>
              </w:rPr>
              <w:t>高</w:t>
            </w:r>
            <w:r>
              <w:rPr>
                <w:rFonts w:hint="eastAsia" w:ascii="微软雅黑" w:hAnsi="微软雅黑" w:eastAsia="微软雅黑" w:cs="宋体"/>
                <w:i/>
                <w:iCs/>
                <w:color w:val="000000"/>
                <w:kern w:val="0"/>
                <w:sz w:val="16"/>
                <w:szCs w:val="16"/>
              </w:rPr>
              <w:t>　</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10</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454"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效益指标</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可持续影响指标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较大程度提高师范生教学能力</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优良中低差</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hint="eastAsia" w:ascii="微软雅黑" w:hAnsi="微软雅黑" w:eastAsia="微软雅黑" w:cs="宋体"/>
                <w:i/>
                <w:iCs/>
                <w:color w:val="000000"/>
                <w:kern w:val="0"/>
                <w:sz w:val="16"/>
                <w:szCs w:val="16"/>
                <w:lang w:eastAsia="zh-CN"/>
              </w:rPr>
            </w:pPr>
            <w:r>
              <w:rPr>
                <w:rFonts w:hint="eastAsia" w:ascii="微软雅黑" w:hAnsi="微软雅黑" w:eastAsia="微软雅黑" w:cs="宋体"/>
                <w:i/>
                <w:iCs/>
                <w:color w:val="000000"/>
                <w:kern w:val="0"/>
                <w:sz w:val="16"/>
                <w:szCs w:val="16"/>
              </w:rPr>
              <w:t>　</w:t>
            </w:r>
            <w:r>
              <w:rPr>
                <w:rFonts w:hint="eastAsia" w:ascii="微软雅黑" w:hAnsi="微软雅黑" w:eastAsia="微软雅黑" w:cs="宋体"/>
                <w:i/>
                <w:iCs/>
                <w:color w:val="000000"/>
                <w:kern w:val="0"/>
                <w:sz w:val="16"/>
                <w:szCs w:val="16"/>
                <w:lang w:eastAsia="zh-CN"/>
              </w:rPr>
              <w:t>优</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30</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454"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满意度指标</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师生满意度</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95</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hint="default" w:ascii="微软雅黑" w:hAnsi="微软雅黑" w:eastAsia="微软雅黑" w:cs="宋体"/>
                <w:i/>
                <w:iCs/>
                <w:color w:val="000000"/>
                <w:kern w:val="0"/>
                <w:sz w:val="16"/>
                <w:szCs w:val="16"/>
                <w:lang w:val="en-US" w:eastAsia="zh-CN"/>
              </w:rPr>
            </w:pPr>
            <w:r>
              <w:rPr>
                <w:rFonts w:hint="eastAsia" w:ascii="微软雅黑" w:hAnsi="微软雅黑" w:eastAsia="微软雅黑" w:cs="宋体"/>
                <w:i/>
                <w:iCs/>
                <w:color w:val="000000"/>
                <w:kern w:val="0"/>
                <w:sz w:val="16"/>
                <w:szCs w:val="16"/>
              </w:rPr>
              <w:t>　</w:t>
            </w:r>
            <w:r>
              <w:rPr>
                <w:rFonts w:hint="eastAsia" w:ascii="微软雅黑" w:hAnsi="微软雅黑" w:eastAsia="微软雅黑" w:cs="宋体"/>
                <w:i/>
                <w:iCs/>
                <w:color w:val="000000"/>
                <w:kern w:val="0"/>
                <w:sz w:val="16"/>
                <w:szCs w:val="16"/>
                <w:lang w:val="en-US" w:eastAsia="zh-CN"/>
              </w:rPr>
              <w:t>95</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10</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285" w:hRule="atLeast"/>
          <w:jc w:val="center"/>
        </w:trPr>
        <w:tc>
          <w:tcPr>
            <w:tcW w:w="779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合计</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576" w:type="dxa"/>
            <w:tcBorders>
              <w:top w:val="nil"/>
              <w:left w:val="nil"/>
              <w:bottom w:val="single" w:color="000000" w:sz="4" w:space="0"/>
              <w:right w:val="single" w:color="000000" w:sz="4" w:space="0"/>
            </w:tcBorders>
            <w:shd w:val="clear" w:color="auto" w:fill="auto"/>
            <w:vAlign w:val="center"/>
          </w:tcPr>
          <w:p>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974"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r>
      <w:tr>
        <w:tblPrEx>
          <w:tblCellMar>
            <w:top w:w="0" w:type="dxa"/>
            <w:left w:w="108" w:type="dxa"/>
            <w:bottom w:w="0" w:type="dxa"/>
            <w:right w:w="108" w:type="dxa"/>
          </w:tblCellMar>
        </w:tblPrEx>
        <w:trPr>
          <w:trHeight w:val="604" w:hRule="atLeast"/>
          <w:jc w:val="center"/>
        </w:trPr>
        <w:tc>
          <w:tcPr>
            <w:tcW w:w="576"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评价结论</w:t>
            </w:r>
          </w:p>
        </w:tc>
        <w:tc>
          <w:tcPr>
            <w:tcW w:w="9344"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hint="eastAsia" w:ascii="微软雅黑" w:hAnsi="微软雅黑" w:eastAsia="微软雅黑" w:cs="宋体"/>
                <w:i/>
                <w:iCs/>
                <w:color w:val="000000"/>
                <w:kern w:val="0"/>
                <w:sz w:val="16"/>
                <w:szCs w:val="16"/>
                <w:lang w:eastAsia="zh-CN"/>
              </w:rPr>
            </w:pPr>
            <w:r>
              <w:rPr>
                <w:rFonts w:hint="eastAsia" w:ascii="宋体" w:hAnsi="宋体" w:cs="宋体"/>
                <w:color w:val="000000"/>
                <w:kern w:val="0"/>
                <w:sz w:val="18"/>
                <w:szCs w:val="18"/>
                <w:lang w:eastAsia="zh-CN"/>
              </w:rPr>
              <w:t>完成</w:t>
            </w:r>
          </w:p>
        </w:tc>
      </w:tr>
      <w:tr>
        <w:tblPrEx>
          <w:tblCellMar>
            <w:top w:w="0" w:type="dxa"/>
            <w:left w:w="108" w:type="dxa"/>
            <w:bottom w:w="0" w:type="dxa"/>
            <w:right w:w="108" w:type="dxa"/>
          </w:tblCellMar>
        </w:tblPrEx>
        <w:trPr>
          <w:trHeight w:val="574" w:hRule="atLeast"/>
          <w:jc w:val="center"/>
        </w:trPr>
        <w:tc>
          <w:tcPr>
            <w:tcW w:w="576"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存在问题</w:t>
            </w:r>
          </w:p>
        </w:tc>
        <w:tc>
          <w:tcPr>
            <w:tcW w:w="9344"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i/>
                <w:iCs/>
                <w:color w:val="000000"/>
                <w:kern w:val="0"/>
                <w:sz w:val="16"/>
                <w:szCs w:val="16"/>
              </w:rPr>
            </w:pPr>
          </w:p>
        </w:tc>
      </w:tr>
      <w:tr>
        <w:tblPrEx>
          <w:tblCellMar>
            <w:top w:w="0" w:type="dxa"/>
            <w:left w:w="108" w:type="dxa"/>
            <w:bottom w:w="0" w:type="dxa"/>
            <w:right w:w="108" w:type="dxa"/>
          </w:tblCellMar>
        </w:tblPrEx>
        <w:trPr>
          <w:trHeight w:val="634" w:hRule="atLeast"/>
          <w:jc w:val="center"/>
        </w:trPr>
        <w:tc>
          <w:tcPr>
            <w:tcW w:w="576"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改进措施</w:t>
            </w:r>
          </w:p>
        </w:tc>
        <w:tc>
          <w:tcPr>
            <w:tcW w:w="9344"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i/>
                <w:iCs/>
                <w:color w:val="000000"/>
                <w:kern w:val="0"/>
                <w:sz w:val="16"/>
                <w:szCs w:val="16"/>
              </w:rPr>
            </w:pPr>
          </w:p>
        </w:tc>
      </w:tr>
      <w:tr>
        <w:tblPrEx>
          <w:tblCellMar>
            <w:top w:w="0" w:type="dxa"/>
            <w:left w:w="108" w:type="dxa"/>
            <w:bottom w:w="0" w:type="dxa"/>
            <w:right w:w="108" w:type="dxa"/>
          </w:tblCellMar>
        </w:tblPrEx>
        <w:trPr>
          <w:trHeight w:val="285" w:hRule="atLeast"/>
          <w:jc w:val="center"/>
        </w:trPr>
        <w:tc>
          <w:tcPr>
            <w:tcW w:w="520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hint="eastAsia" w:ascii="Courier New" w:hAnsi="Courier New" w:eastAsia="宋体" w:cs="Courier New"/>
                <w:color w:val="000000"/>
                <w:kern w:val="0"/>
                <w:sz w:val="18"/>
                <w:szCs w:val="18"/>
                <w:lang w:eastAsia="zh-CN"/>
              </w:rPr>
            </w:pPr>
            <w:r>
              <w:rPr>
                <w:rFonts w:hint="eastAsia" w:ascii="Courier New" w:hAnsi="Courier New" w:cs="Courier New"/>
                <w:color w:val="000000"/>
                <w:kern w:val="0"/>
                <w:sz w:val="18"/>
                <w:szCs w:val="18"/>
                <w:lang w:eastAsia="zh-CN"/>
              </w:rPr>
              <w:t>项目负责人：黄丽梅</w:t>
            </w:r>
          </w:p>
        </w:tc>
        <w:tc>
          <w:tcPr>
            <w:tcW w:w="4719" w:type="dxa"/>
            <w:gridSpan w:val="6"/>
            <w:tcBorders>
              <w:top w:val="single" w:color="000000" w:sz="4" w:space="0"/>
              <w:left w:val="nil"/>
              <w:bottom w:val="single" w:color="000000" w:sz="4" w:space="0"/>
              <w:right w:val="single" w:color="000000" w:sz="4" w:space="0"/>
            </w:tcBorders>
            <w:shd w:val="clear" w:color="auto" w:fill="auto"/>
            <w:vAlign w:val="center"/>
          </w:tcPr>
          <w:p>
            <w:pPr>
              <w:widowControl/>
              <w:jc w:val="left"/>
              <w:rPr>
                <w:rFonts w:hint="eastAsia" w:ascii="Courier New" w:hAnsi="Courier New" w:eastAsia="宋体" w:cs="Courier New"/>
                <w:color w:val="000000"/>
                <w:kern w:val="0"/>
                <w:sz w:val="18"/>
                <w:szCs w:val="18"/>
                <w:lang w:eastAsia="zh-CN"/>
              </w:rPr>
            </w:pPr>
            <w:r>
              <w:rPr>
                <w:rFonts w:hint="eastAsia" w:ascii="Courier New" w:hAnsi="Courier New" w:cs="Courier New"/>
                <w:color w:val="000000"/>
                <w:kern w:val="0"/>
                <w:sz w:val="18"/>
                <w:szCs w:val="18"/>
                <w:lang w:eastAsia="zh-CN"/>
              </w:rPr>
              <w:t>财务负责人：靳能泉</w:t>
            </w:r>
          </w:p>
        </w:tc>
      </w:tr>
      <w:tr>
        <w:tblPrEx>
          <w:tblCellMar>
            <w:top w:w="0" w:type="dxa"/>
            <w:left w:w="108" w:type="dxa"/>
            <w:bottom w:w="0" w:type="dxa"/>
            <w:right w:w="108" w:type="dxa"/>
          </w:tblCellMar>
        </w:tblPrEx>
        <w:trPr>
          <w:trHeight w:val="904" w:hRule="atLeast"/>
          <w:jc w:val="center"/>
        </w:trPr>
        <w:tc>
          <w:tcPr>
            <w:tcW w:w="99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黑体" w:hAnsi="黑体" w:eastAsia="黑体" w:cs="宋体"/>
                <w:b/>
                <w:bCs/>
                <w:color w:val="000000"/>
                <w:kern w:val="0"/>
                <w:sz w:val="30"/>
                <w:szCs w:val="30"/>
              </w:rPr>
            </w:pPr>
            <w:r>
              <w:rPr>
                <w:rFonts w:hint="eastAsia" w:ascii="黑体" w:hAnsi="黑体" w:eastAsia="黑体" w:cs="宋体"/>
                <w:b/>
                <w:bCs/>
                <w:color w:val="000000"/>
                <w:kern w:val="0"/>
                <w:sz w:val="30"/>
                <w:szCs w:val="30"/>
              </w:rPr>
              <w:t>部门预算项目支出绩效自评表（2022年度）</w:t>
            </w:r>
          </w:p>
        </w:tc>
      </w:tr>
      <w:tr>
        <w:tblPrEx>
          <w:tblCellMar>
            <w:top w:w="0" w:type="dxa"/>
            <w:left w:w="108" w:type="dxa"/>
            <w:bottom w:w="0" w:type="dxa"/>
            <w:right w:w="108" w:type="dxa"/>
          </w:tblCellMar>
        </w:tblPrEx>
        <w:trPr>
          <w:trHeight w:val="285" w:hRule="atLeast"/>
          <w:jc w:val="center"/>
        </w:trPr>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项目名称</w:t>
            </w:r>
          </w:p>
        </w:tc>
        <w:tc>
          <w:tcPr>
            <w:tcW w:w="8295" w:type="dxa"/>
            <w:gridSpan w:val="9"/>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51000022T000004879560-支持地方高校改革发展专项资金-四川文理学院</w:t>
            </w:r>
          </w:p>
        </w:tc>
      </w:tr>
      <w:tr>
        <w:tblPrEx>
          <w:tblCellMar>
            <w:top w:w="0" w:type="dxa"/>
            <w:left w:w="108" w:type="dxa"/>
            <w:bottom w:w="0" w:type="dxa"/>
            <w:right w:w="108" w:type="dxa"/>
          </w:tblCellMar>
        </w:tblPrEx>
        <w:trPr>
          <w:trHeight w:val="514" w:hRule="atLeast"/>
          <w:jc w:val="center"/>
        </w:trPr>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主管部门</w:t>
            </w:r>
          </w:p>
        </w:tc>
        <w:tc>
          <w:tcPr>
            <w:tcW w:w="5178"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四川省教育厅部门</w:t>
            </w:r>
          </w:p>
        </w:tc>
        <w:tc>
          <w:tcPr>
            <w:tcW w:w="991" w:type="dxa"/>
            <w:tcBorders>
              <w:top w:val="nil"/>
              <w:left w:val="nil"/>
              <w:bottom w:val="nil"/>
              <w:right w:val="nil"/>
            </w:tcBorders>
            <w:shd w:val="clear" w:color="auto" w:fill="auto"/>
            <w:vAlign w:val="center"/>
          </w:tcPr>
          <w:p>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实施单位 （盖章）</w:t>
            </w:r>
          </w:p>
        </w:tc>
        <w:tc>
          <w:tcPr>
            <w:tcW w:w="21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四川文理学院</w:t>
            </w:r>
          </w:p>
        </w:tc>
      </w:tr>
      <w:tr>
        <w:trPr>
          <w:trHeight w:val="285" w:hRule="atLeast"/>
          <w:jc w:val="center"/>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项目基本情况</w:t>
            </w:r>
          </w:p>
        </w:tc>
        <w:tc>
          <w:tcPr>
            <w:tcW w:w="1049"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1.项目年度目标完成情况</w:t>
            </w:r>
          </w:p>
        </w:tc>
        <w:tc>
          <w:tcPr>
            <w:tcW w:w="5178"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项目年度目标</w:t>
            </w:r>
          </w:p>
        </w:tc>
        <w:tc>
          <w:tcPr>
            <w:tcW w:w="3117" w:type="dxa"/>
            <w:gridSpan w:val="4"/>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Courier New" w:hAnsi="Courier New" w:cs="Courier New"/>
                <w:color w:val="000000"/>
                <w:kern w:val="0"/>
                <w:sz w:val="18"/>
                <w:szCs w:val="18"/>
              </w:rPr>
            </w:pPr>
            <w:r>
              <w:rPr>
                <w:rFonts w:ascii="Courier New" w:hAnsi="Courier New" w:cs="Courier New"/>
                <w:color w:val="000000"/>
                <w:kern w:val="0"/>
                <w:sz w:val="18"/>
                <w:szCs w:val="18"/>
              </w:rPr>
              <w:t>年度目标完成情况</w:t>
            </w:r>
          </w:p>
        </w:tc>
      </w:tr>
      <w:tr>
        <w:tblPrEx>
          <w:tblCellMar>
            <w:top w:w="0" w:type="dxa"/>
            <w:left w:w="108" w:type="dxa"/>
            <w:bottom w:w="0" w:type="dxa"/>
            <w:right w:w="108" w:type="dxa"/>
          </w:tblCellMar>
        </w:tblPrEx>
        <w:trPr>
          <w:trHeight w:val="709"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5178"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建设人工、智能-大数据实验实训平台、光学数字实验室改造、购买实验室教学设备，进一步凝聚教学队伍提高教学质量、促进学科创新，凸显专业教学特色与亮点。</w:t>
            </w:r>
          </w:p>
        </w:tc>
        <w:tc>
          <w:tcPr>
            <w:tcW w:w="3117" w:type="dxa"/>
            <w:gridSpan w:val="4"/>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　</w:t>
            </w:r>
            <w:r>
              <w:rPr>
                <w:rFonts w:hint="eastAsia" w:ascii="Courier New" w:hAnsi="Courier New" w:cs="Courier New"/>
                <w:color w:val="000000"/>
                <w:kern w:val="0"/>
                <w:sz w:val="18"/>
                <w:szCs w:val="18"/>
                <w:lang w:eastAsia="zh-CN"/>
              </w:rPr>
              <w:t>完成</w:t>
            </w:r>
          </w:p>
        </w:tc>
      </w:tr>
      <w:tr>
        <w:tblPrEx>
          <w:tblCellMar>
            <w:top w:w="0" w:type="dxa"/>
            <w:left w:w="108" w:type="dxa"/>
            <w:bottom w:w="0" w:type="dxa"/>
            <w:right w:w="108" w:type="dxa"/>
          </w:tblCellMar>
        </w:tblPrEx>
        <w:trPr>
          <w:trHeight w:val="694"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2.项目实施内容及过程概述</w:t>
            </w:r>
          </w:p>
        </w:tc>
        <w:tc>
          <w:tcPr>
            <w:tcW w:w="8295" w:type="dxa"/>
            <w:gridSpan w:val="9"/>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建设人工、智能-大数据实验实训平台、光学数字实验室改造、购买实验室教学设备</w:t>
            </w:r>
          </w:p>
        </w:tc>
      </w:tr>
      <w:tr>
        <w:tblPrEx>
          <w:tblCellMar>
            <w:top w:w="0" w:type="dxa"/>
            <w:left w:w="108" w:type="dxa"/>
            <w:bottom w:w="0" w:type="dxa"/>
            <w:right w:w="108" w:type="dxa"/>
          </w:tblCellMar>
        </w:tblPrEx>
        <w:trPr>
          <w:trHeight w:val="360" w:hRule="atLeast"/>
          <w:jc w:val="center"/>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预算执行情况（10分）</w:t>
            </w: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年度预算数（万元）</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年初预算</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调整后预算数</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预算执行数</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预算执行率</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原因</w:t>
            </w:r>
          </w:p>
        </w:tc>
      </w:tr>
      <w:tr>
        <w:tblPrEx>
          <w:tblCellMar>
            <w:top w:w="0" w:type="dxa"/>
            <w:left w:w="108" w:type="dxa"/>
            <w:bottom w:w="0" w:type="dxa"/>
            <w:right w:w="108" w:type="dxa"/>
          </w:tblCellMar>
        </w:tblPrEx>
        <w:trPr>
          <w:trHeight w:val="387"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总额</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1,085.00</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1,085.00</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1,039.45</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95.80%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10</w:t>
            </w:r>
          </w:p>
        </w:tc>
        <w:tc>
          <w:tcPr>
            <w:tcW w:w="974"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Courier New" w:hAnsi="Courier New" w:cs="Courier New"/>
                <w:i/>
                <w:iCs/>
                <w:color w:val="000000"/>
                <w:kern w:val="0"/>
                <w:sz w:val="18"/>
                <w:szCs w:val="18"/>
              </w:rPr>
            </w:pPr>
            <w:r>
              <w:rPr>
                <w:rFonts w:ascii="Courier New" w:hAnsi="Courier New" w:cs="Courier New"/>
                <w:i/>
                <w:iCs/>
                <w:color w:val="000000"/>
                <w:kern w:val="0"/>
                <w:sz w:val="18"/>
                <w:szCs w:val="18"/>
              </w:rPr>
              <w:t>　</w:t>
            </w:r>
          </w:p>
        </w:tc>
      </w:tr>
      <w:tr>
        <w:tblPrEx>
          <w:tblCellMar>
            <w:top w:w="0" w:type="dxa"/>
            <w:left w:w="108" w:type="dxa"/>
            <w:bottom w:w="0" w:type="dxa"/>
            <w:right w:w="108" w:type="dxa"/>
          </w:tblCellMar>
        </w:tblPrEx>
        <w:trPr>
          <w:trHeight w:val="432"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其中：财政资金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1,085.00</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1,085.00</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1,039.45</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95.80%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447"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财政专户管理资金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402"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单位资金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379"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其他资金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454" w:hRule="atLeast"/>
          <w:jc w:val="center"/>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绩效指标（90分）</w:t>
            </w: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一级指标</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二级指标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三级指标</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指标性质</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指标值</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度量单位</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完成值</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未完成原因分析</w:t>
            </w:r>
          </w:p>
        </w:tc>
      </w:tr>
      <w:tr>
        <w:tblPrEx>
          <w:tblCellMar>
            <w:top w:w="0" w:type="dxa"/>
            <w:left w:w="108" w:type="dxa"/>
            <w:bottom w:w="0" w:type="dxa"/>
            <w:right w:w="108" w:type="dxa"/>
          </w:tblCellMar>
        </w:tblPrEx>
        <w:trPr>
          <w:trHeight w:val="338"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产出指标</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设备采购率</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lang w:val="en-US" w:eastAsia="zh-CN"/>
              </w:rPr>
              <w:t>100</w:t>
            </w:r>
            <w:r>
              <w:rPr>
                <w:rFonts w:hint="eastAsia" w:ascii="微软雅黑" w:hAnsi="微软雅黑" w:eastAsia="微软雅黑" w:cs="宋体"/>
                <w:i/>
                <w:iCs/>
                <w:color w:val="000000"/>
                <w:kern w:val="0"/>
                <w:sz w:val="16"/>
                <w:szCs w:val="16"/>
              </w:rPr>
              <w:t>　</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10</w:t>
            </w:r>
            <w:r>
              <w:rPr>
                <w:rFonts w:hint="eastAsia" w:ascii="宋体" w:hAnsi="宋体" w:cs="宋体"/>
                <w:color w:val="000000"/>
                <w:kern w:val="0"/>
                <w:sz w:val="18"/>
                <w:szCs w:val="18"/>
              </w:rPr>
              <w:t>　</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338"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验收合格率</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hint="default" w:ascii="微软雅黑" w:hAnsi="微软雅黑" w:eastAsia="微软雅黑" w:cs="宋体"/>
                <w:i/>
                <w:iCs/>
                <w:color w:val="000000"/>
                <w:kern w:val="0"/>
                <w:sz w:val="16"/>
                <w:szCs w:val="16"/>
                <w:lang w:val="en-US" w:eastAsia="zh-CN"/>
              </w:rPr>
            </w:pPr>
            <w:r>
              <w:rPr>
                <w:rFonts w:hint="eastAsia" w:ascii="微软雅黑" w:hAnsi="微软雅黑" w:eastAsia="微软雅黑" w:cs="宋体"/>
                <w:i/>
                <w:iCs/>
                <w:color w:val="000000"/>
                <w:kern w:val="0"/>
                <w:sz w:val="16"/>
                <w:szCs w:val="16"/>
              </w:rPr>
              <w:t>　</w:t>
            </w:r>
            <w:r>
              <w:rPr>
                <w:rFonts w:hint="eastAsia" w:ascii="微软雅黑" w:hAnsi="微软雅黑" w:eastAsia="微软雅黑" w:cs="宋体"/>
                <w:i/>
                <w:iCs/>
                <w:color w:val="000000"/>
                <w:kern w:val="0"/>
                <w:sz w:val="16"/>
                <w:szCs w:val="16"/>
                <w:lang w:val="en-US" w:eastAsia="zh-CN"/>
              </w:rPr>
              <w:t>100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10</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338"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按时完工率</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hint="default" w:ascii="微软雅黑" w:hAnsi="微软雅黑" w:eastAsia="微软雅黑" w:cs="宋体"/>
                <w:i/>
                <w:iCs/>
                <w:color w:val="000000"/>
                <w:kern w:val="0"/>
                <w:sz w:val="16"/>
                <w:szCs w:val="16"/>
                <w:lang w:val="en-US" w:eastAsia="zh-CN"/>
              </w:rPr>
            </w:pPr>
            <w:r>
              <w:rPr>
                <w:rFonts w:hint="eastAsia" w:ascii="微软雅黑" w:hAnsi="微软雅黑" w:eastAsia="微软雅黑" w:cs="宋体"/>
                <w:i/>
                <w:iCs/>
                <w:color w:val="000000"/>
                <w:kern w:val="0"/>
                <w:sz w:val="16"/>
                <w:szCs w:val="16"/>
              </w:rPr>
              <w:t>　</w:t>
            </w:r>
            <w:r>
              <w:rPr>
                <w:rFonts w:hint="eastAsia" w:ascii="微软雅黑" w:hAnsi="微软雅黑" w:eastAsia="微软雅黑" w:cs="宋体"/>
                <w:i/>
                <w:iCs/>
                <w:color w:val="000000"/>
                <w:kern w:val="0"/>
                <w:sz w:val="16"/>
                <w:szCs w:val="16"/>
                <w:lang w:val="en-US" w:eastAsia="zh-CN"/>
              </w:rPr>
              <w:t>100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10</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338"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成本指标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经济成本</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1085</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hint="default" w:ascii="微软雅黑" w:hAnsi="微软雅黑" w:eastAsia="微软雅黑" w:cs="宋体"/>
                <w:i/>
                <w:iCs/>
                <w:color w:val="000000"/>
                <w:kern w:val="0"/>
                <w:sz w:val="16"/>
                <w:szCs w:val="16"/>
                <w:lang w:val="en-US" w:eastAsia="zh-CN"/>
              </w:rPr>
            </w:pPr>
            <w:r>
              <w:rPr>
                <w:rFonts w:hint="eastAsia" w:ascii="微软雅黑" w:hAnsi="微软雅黑" w:eastAsia="微软雅黑" w:cs="宋体"/>
                <w:i/>
                <w:iCs/>
                <w:color w:val="000000"/>
                <w:kern w:val="0"/>
                <w:sz w:val="16"/>
                <w:szCs w:val="16"/>
              </w:rPr>
              <w:t>　</w:t>
            </w:r>
            <w:r>
              <w:rPr>
                <w:rFonts w:hint="eastAsia" w:ascii="微软雅黑" w:hAnsi="微软雅黑" w:eastAsia="微软雅黑" w:cs="宋体"/>
                <w:i/>
                <w:iCs/>
                <w:color w:val="000000"/>
                <w:kern w:val="0"/>
                <w:sz w:val="16"/>
                <w:szCs w:val="16"/>
                <w:lang w:val="en-US" w:eastAsia="zh-CN"/>
              </w:rPr>
              <w:t>1039</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20</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338"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效益指标</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可持续影响指标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更好服务教育教学工作</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优良中低差</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hint="eastAsia" w:ascii="微软雅黑" w:hAnsi="微软雅黑" w:eastAsia="微软雅黑" w:cs="宋体"/>
                <w:i/>
                <w:iCs/>
                <w:color w:val="000000"/>
                <w:kern w:val="0"/>
                <w:sz w:val="16"/>
                <w:szCs w:val="16"/>
                <w:lang w:eastAsia="zh-CN"/>
              </w:rPr>
            </w:pPr>
            <w:r>
              <w:rPr>
                <w:rFonts w:hint="eastAsia" w:ascii="微软雅黑" w:hAnsi="微软雅黑" w:eastAsia="微软雅黑" w:cs="宋体"/>
                <w:i/>
                <w:iCs/>
                <w:color w:val="000000"/>
                <w:kern w:val="0"/>
                <w:sz w:val="16"/>
                <w:szCs w:val="16"/>
              </w:rPr>
              <w:t>　</w:t>
            </w:r>
            <w:r>
              <w:rPr>
                <w:rFonts w:hint="eastAsia" w:ascii="微软雅黑" w:hAnsi="微软雅黑" w:eastAsia="微软雅黑" w:cs="宋体"/>
                <w:i/>
                <w:iCs/>
                <w:color w:val="000000"/>
                <w:kern w:val="0"/>
                <w:sz w:val="16"/>
                <w:szCs w:val="16"/>
                <w:lang w:eastAsia="zh-CN"/>
              </w:rPr>
              <w:t>优</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30</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454"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满意度指标</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师生满意度</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95</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hint="default" w:ascii="微软雅黑" w:hAnsi="微软雅黑" w:eastAsia="微软雅黑" w:cs="宋体"/>
                <w:i/>
                <w:iCs/>
                <w:color w:val="000000"/>
                <w:kern w:val="0"/>
                <w:sz w:val="16"/>
                <w:szCs w:val="16"/>
                <w:lang w:val="en-US" w:eastAsia="zh-CN"/>
              </w:rPr>
            </w:pPr>
            <w:r>
              <w:rPr>
                <w:rFonts w:hint="eastAsia" w:ascii="微软雅黑" w:hAnsi="微软雅黑" w:eastAsia="微软雅黑" w:cs="宋体"/>
                <w:i/>
                <w:iCs/>
                <w:color w:val="000000"/>
                <w:kern w:val="0"/>
                <w:sz w:val="16"/>
                <w:szCs w:val="16"/>
              </w:rPr>
              <w:t>　</w:t>
            </w:r>
            <w:r>
              <w:rPr>
                <w:rFonts w:hint="eastAsia" w:ascii="微软雅黑" w:hAnsi="微软雅黑" w:eastAsia="微软雅黑" w:cs="宋体"/>
                <w:i/>
                <w:iCs/>
                <w:color w:val="000000"/>
                <w:kern w:val="0"/>
                <w:sz w:val="16"/>
                <w:szCs w:val="16"/>
                <w:lang w:val="en-US" w:eastAsia="zh-CN"/>
              </w:rPr>
              <w:t>95</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10</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285" w:hRule="atLeast"/>
          <w:jc w:val="center"/>
        </w:trPr>
        <w:tc>
          <w:tcPr>
            <w:tcW w:w="779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合计</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576" w:type="dxa"/>
            <w:tcBorders>
              <w:top w:val="nil"/>
              <w:left w:val="nil"/>
              <w:bottom w:val="single" w:color="000000" w:sz="4" w:space="0"/>
              <w:right w:val="single" w:color="000000" w:sz="4" w:space="0"/>
            </w:tcBorders>
            <w:shd w:val="clear" w:color="auto" w:fill="auto"/>
            <w:vAlign w:val="center"/>
          </w:tcPr>
          <w:p>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974"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r>
      <w:tr>
        <w:tblPrEx>
          <w:tblCellMar>
            <w:top w:w="0" w:type="dxa"/>
            <w:left w:w="108" w:type="dxa"/>
            <w:bottom w:w="0" w:type="dxa"/>
            <w:right w:w="108" w:type="dxa"/>
          </w:tblCellMar>
        </w:tblPrEx>
        <w:trPr>
          <w:trHeight w:val="604" w:hRule="atLeast"/>
          <w:jc w:val="center"/>
        </w:trPr>
        <w:tc>
          <w:tcPr>
            <w:tcW w:w="576"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评价结论</w:t>
            </w:r>
          </w:p>
        </w:tc>
        <w:tc>
          <w:tcPr>
            <w:tcW w:w="9344"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hint="eastAsia" w:ascii="微软雅黑" w:hAnsi="微软雅黑" w:eastAsia="微软雅黑" w:cs="宋体"/>
                <w:i/>
                <w:iCs/>
                <w:color w:val="000000"/>
                <w:kern w:val="0"/>
                <w:sz w:val="16"/>
                <w:szCs w:val="16"/>
                <w:lang w:eastAsia="zh-CN"/>
              </w:rPr>
            </w:pPr>
            <w:r>
              <w:rPr>
                <w:rFonts w:hint="eastAsia" w:ascii="宋体" w:hAnsi="宋体" w:cs="宋体"/>
                <w:color w:val="000000"/>
                <w:kern w:val="0"/>
                <w:sz w:val="18"/>
                <w:szCs w:val="18"/>
                <w:lang w:eastAsia="zh-CN"/>
              </w:rPr>
              <w:t>完成</w:t>
            </w:r>
          </w:p>
        </w:tc>
      </w:tr>
      <w:tr>
        <w:tblPrEx>
          <w:tblCellMar>
            <w:top w:w="0" w:type="dxa"/>
            <w:left w:w="108" w:type="dxa"/>
            <w:bottom w:w="0" w:type="dxa"/>
            <w:right w:w="108" w:type="dxa"/>
          </w:tblCellMar>
        </w:tblPrEx>
        <w:trPr>
          <w:trHeight w:val="574" w:hRule="atLeast"/>
          <w:jc w:val="center"/>
        </w:trPr>
        <w:tc>
          <w:tcPr>
            <w:tcW w:w="576"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存在问题</w:t>
            </w:r>
          </w:p>
        </w:tc>
        <w:tc>
          <w:tcPr>
            <w:tcW w:w="9344"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i/>
                <w:iCs/>
                <w:color w:val="000000"/>
                <w:kern w:val="0"/>
                <w:sz w:val="16"/>
                <w:szCs w:val="16"/>
              </w:rPr>
            </w:pPr>
          </w:p>
        </w:tc>
      </w:tr>
      <w:tr>
        <w:tblPrEx>
          <w:tblCellMar>
            <w:top w:w="0" w:type="dxa"/>
            <w:left w:w="108" w:type="dxa"/>
            <w:bottom w:w="0" w:type="dxa"/>
            <w:right w:w="108" w:type="dxa"/>
          </w:tblCellMar>
        </w:tblPrEx>
        <w:trPr>
          <w:trHeight w:val="634" w:hRule="atLeast"/>
          <w:jc w:val="center"/>
        </w:trPr>
        <w:tc>
          <w:tcPr>
            <w:tcW w:w="576"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改进措施</w:t>
            </w:r>
          </w:p>
        </w:tc>
        <w:tc>
          <w:tcPr>
            <w:tcW w:w="9344"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i/>
                <w:iCs/>
                <w:color w:val="000000"/>
                <w:kern w:val="0"/>
                <w:sz w:val="16"/>
                <w:szCs w:val="16"/>
              </w:rPr>
            </w:pPr>
          </w:p>
        </w:tc>
      </w:tr>
      <w:tr>
        <w:tblPrEx>
          <w:tblCellMar>
            <w:top w:w="0" w:type="dxa"/>
            <w:left w:w="108" w:type="dxa"/>
            <w:bottom w:w="0" w:type="dxa"/>
            <w:right w:w="108" w:type="dxa"/>
          </w:tblCellMar>
        </w:tblPrEx>
        <w:trPr>
          <w:trHeight w:val="285" w:hRule="atLeast"/>
          <w:jc w:val="center"/>
        </w:trPr>
        <w:tc>
          <w:tcPr>
            <w:tcW w:w="520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hint="eastAsia" w:ascii="Courier New" w:hAnsi="Courier New" w:eastAsia="宋体" w:cs="Courier New"/>
                <w:color w:val="000000"/>
                <w:kern w:val="0"/>
                <w:sz w:val="18"/>
                <w:szCs w:val="18"/>
                <w:lang w:eastAsia="zh-CN"/>
              </w:rPr>
            </w:pPr>
            <w:r>
              <w:rPr>
                <w:rFonts w:hint="eastAsia" w:ascii="Courier New" w:hAnsi="Courier New" w:cs="Courier New"/>
                <w:color w:val="000000"/>
                <w:kern w:val="0"/>
                <w:sz w:val="18"/>
                <w:szCs w:val="18"/>
                <w:lang w:eastAsia="zh-CN"/>
              </w:rPr>
              <w:t>项目负责人：黄丽梅</w:t>
            </w:r>
          </w:p>
        </w:tc>
        <w:tc>
          <w:tcPr>
            <w:tcW w:w="4719" w:type="dxa"/>
            <w:gridSpan w:val="6"/>
            <w:tcBorders>
              <w:top w:val="single" w:color="000000" w:sz="4" w:space="0"/>
              <w:left w:val="nil"/>
              <w:bottom w:val="single" w:color="000000" w:sz="4" w:space="0"/>
              <w:right w:val="single" w:color="000000" w:sz="4" w:space="0"/>
            </w:tcBorders>
            <w:shd w:val="clear" w:color="auto" w:fill="auto"/>
            <w:vAlign w:val="center"/>
          </w:tcPr>
          <w:p>
            <w:pPr>
              <w:widowControl/>
              <w:jc w:val="left"/>
              <w:rPr>
                <w:rFonts w:hint="eastAsia" w:ascii="Courier New" w:hAnsi="Courier New" w:eastAsia="宋体" w:cs="Courier New"/>
                <w:color w:val="000000"/>
                <w:kern w:val="0"/>
                <w:sz w:val="18"/>
                <w:szCs w:val="18"/>
                <w:lang w:eastAsia="zh-CN"/>
              </w:rPr>
            </w:pPr>
            <w:r>
              <w:rPr>
                <w:rFonts w:hint="eastAsia" w:ascii="Courier New" w:hAnsi="Courier New" w:cs="Courier New"/>
                <w:color w:val="000000"/>
                <w:kern w:val="0"/>
                <w:sz w:val="18"/>
                <w:szCs w:val="18"/>
                <w:lang w:eastAsia="zh-CN"/>
              </w:rPr>
              <w:t>财务负责人：靳能泉</w:t>
            </w:r>
          </w:p>
        </w:tc>
      </w:tr>
      <w:tr>
        <w:tblPrEx>
          <w:tblCellMar>
            <w:top w:w="0" w:type="dxa"/>
            <w:left w:w="108" w:type="dxa"/>
            <w:bottom w:w="0" w:type="dxa"/>
            <w:right w:w="108" w:type="dxa"/>
          </w:tblCellMar>
        </w:tblPrEx>
        <w:trPr>
          <w:trHeight w:val="904" w:hRule="atLeast"/>
          <w:jc w:val="center"/>
        </w:trPr>
        <w:tc>
          <w:tcPr>
            <w:tcW w:w="99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黑体" w:hAnsi="黑体" w:eastAsia="黑体" w:cs="宋体"/>
                <w:b/>
                <w:bCs/>
                <w:color w:val="000000"/>
                <w:kern w:val="0"/>
                <w:sz w:val="30"/>
                <w:szCs w:val="30"/>
              </w:rPr>
            </w:pPr>
            <w:r>
              <w:rPr>
                <w:rFonts w:hint="eastAsia" w:ascii="黑体" w:hAnsi="黑体" w:eastAsia="黑体" w:cs="宋体"/>
                <w:b/>
                <w:bCs/>
                <w:color w:val="000000"/>
                <w:kern w:val="0"/>
                <w:sz w:val="30"/>
                <w:szCs w:val="30"/>
              </w:rPr>
              <w:t>部门预算项目支出绩效自评表（2022年度）</w:t>
            </w:r>
          </w:p>
        </w:tc>
      </w:tr>
      <w:tr>
        <w:tblPrEx>
          <w:tblCellMar>
            <w:top w:w="0" w:type="dxa"/>
            <w:left w:w="108" w:type="dxa"/>
            <w:bottom w:w="0" w:type="dxa"/>
            <w:right w:w="108" w:type="dxa"/>
          </w:tblCellMar>
        </w:tblPrEx>
        <w:trPr>
          <w:trHeight w:val="285" w:hRule="atLeast"/>
          <w:jc w:val="center"/>
        </w:trPr>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项目名称</w:t>
            </w:r>
          </w:p>
        </w:tc>
        <w:tc>
          <w:tcPr>
            <w:tcW w:w="8295" w:type="dxa"/>
            <w:gridSpan w:val="9"/>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51000022T000004885412-高校共建与发展专项资金</w:t>
            </w:r>
          </w:p>
        </w:tc>
      </w:tr>
      <w:tr>
        <w:tblPrEx>
          <w:tblCellMar>
            <w:top w:w="0" w:type="dxa"/>
            <w:left w:w="108" w:type="dxa"/>
            <w:bottom w:w="0" w:type="dxa"/>
            <w:right w:w="108" w:type="dxa"/>
          </w:tblCellMar>
        </w:tblPrEx>
        <w:trPr>
          <w:trHeight w:val="514" w:hRule="atLeast"/>
          <w:jc w:val="center"/>
        </w:trPr>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主管部门</w:t>
            </w:r>
          </w:p>
        </w:tc>
        <w:tc>
          <w:tcPr>
            <w:tcW w:w="5178"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四川省教育厅部门</w:t>
            </w:r>
          </w:p>
        </w:tc>
        <w:tc>
          <w:tcPr>
            <w:tcW w:w="991" w:type="dxa"/>
            <w:tcBorders>
              <w:top w:val="nil"/>
              <w:left w:val="nil"/>
              <w:bottom w:val="nil"/>
              <w:right w:val="nil"/>
            </w:tcBorders>
            <w:shd w:val="clear" w:color="auto" w:fill="auto"/>
            <w:vAlign w:val="center"/>
          </w:tcPr>
          <w:p>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实施单位 （盖章）</w:t>
            </w:r>
          </w:p>
        </w:tc>
        <w:tc>
          <w:tcPr>
            <w:tcW w:w="21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四川文理学院</w:t>
            </w:r>
          </w:p>
        </w:tc>
      </w:tr>
      <w:tr>
        <w:trPr>
          <w:trHeight w:val="285" w:hRule="atLeast"/>
          <w:jc w:val="center"/>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项目基本情况</w:t>
            </w:r>
          </w:p>
        </w:tc>
        <w:tc>
          <w:tcPr>
            <w:tcW w:w="1049"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1.项目年度目标完成情况</w:t>
            </w:r>
          </w:p>
        </w:tc>
        <w:tc>
          <w:tcPr>
            <w:tcW w:w="5178"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项目年度目标</w:t>
            </w:r>
          </w:p>
        </w:tc>
        <w:tc>
          <w:tcPr>
            <w:tcW w:w="3117" w:type="dxa"/>
            <w:gridSpan w:val="4"/>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Courier New" w:hAnsi="Courier New" w:cs="Courier New"/>
                <w:color w:val="000000"/>
                <w:kern w:val="0"/>
                <w:sz w:val="18"/>
                <w:szCs w:val="18"/>
              </w:rPr>
            </w:pPr>
            <w:r>
              <w:rPr>
                <w:rFonts w:ascii="Courier New" w:hAnsi="Courier New" w:cs="Courier New"/>
                <w:color w:val="000000"/>
                <w:kern w:val="0"/>
                <w:sz w:val="18"/>
                <w:szCs w:val="18"/>
              </w:rPr>
              <w:t>年度目标完成情况</w:t>
            </w:r>
          </w:p>
        </w:tc>
      </w:tr>
      <w:tr>
        <w:tblPrEx>
          <w:tblCellMar>
            <w:top w:w="0" w:type="dxa"/>
            <w:left w:w="108" w:type="dxa"/>
            <w:bottom w:w="0" w:type="dxa"/>
            <w:right w:w="108" w:type="dxa"/>
          </w:tblCellMar>
        </w:tblPrEx>
        <w:trPr>
          <w:trHeight w:val="709"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5178"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根据要求，按时发放公费师范生和困难毕业生补助，改善公费师范生生活、学习环境。</w:t>
            </w:r>
          </w:p>
        </w:tc>
        <w:tc>
          <w:tcPr>
            <w:tcW w:w="3117" w:type="dxa"/>
            <w:gridSpan w:val="4"/>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　</w:t>
            </w:r>
            <w:r>
              <w:rPr>
                <w:rFonts w:hint="eastAsia" w:ascii="Courier New" w:hAnsi="Courier New" w:cs="Courier New"/>
                <w:color w:val="000000"/>
                <w:kern w:val="0"/>
                <w:sz w:val="18"/>
                <w:szCs w:val="18"/>
                <w:lang w:eastAsia="zh-CN"/>
              </w:rPr>
              <w:t>完成</w:t>
            </w:r>
          </w:p>
        </w:tc>
      </w:tr>
      <w:tr>
        <w:tblPrEx>
          <w:tblCellMar>
            <w:top w:w="0" w:type="dxa"/>
            <w:left w:w="108" w:type="dxa"/>
            <w:bottom w:w="0" w:type="dxa"/>
            <w:right w:w="108" w:type="dxa"/>
          </w:tblCellMar>
        </w:tblPrEx>
        <w:trPr>
          <w:trHeight w:val="694"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2.项目实施内容及过程概述</w:t>
            </w:r>
          </w:p>
        </w:tc>
        <w:tc>
          <w:tcPr>
            <w:tcW w:w="8295" w:type="dxa"/>
            <w:gridSpan w:val="9"/>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按时发放公费师范生和困难毕业生补助</w:t>
            </w:r>
          </w:p>
        </w:tc>
      </w:tr>
      <w:tr>
        <w:tblPrEx>
          <w:tblCellMar>
            <w:top w:w="0" w:type="dxa"/>
            <w:left w:w="108" w:type="dxa"/>
            <w:bottom w:w="0" w:type="dxa"/>
            <w:right w:w="108" w:type="dxa"/>
          </w:tblCellMar>
        </w:tblPrEx>
        <w:trPr>
          <w:trHeight w:val="360" w:hRule="atLeast"/>
          <w:jc w:val="center"/>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预算执行情况（10分）</w:t>
            </w: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年度预算数（万元）</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年初预算</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调整后预算数</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预算执行数</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预算执行率</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原因</w:t>
            </w:r>
          </w:p>
        </w:tc>
      </w:tr>
      <w:tr>
        <w:tblPrEx>
          <w:tblCellMar>
            <w:top w:w="0" w:type="dxa"/>
            <w:left w:w="108" w:type="dxa"/>
            <w:bottom w:w="0" w:type="dxa"/>
            <w:right w:w="108" w:type="dxa"/>
          </w:tblCellMar>
        </w:tblPrEx>
        <w:trPr>
          <w:trHeight w:val="387"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总额</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4,065.64</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4,065.64</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10</w:t>
            </w:r>
          </w:p>
        </w:tc>
        <w:tc>
          <w:tcPr>
            <w:tcW w:w="974"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Courier New" w:hAnsi="Courier New" w:cs="Courier New"/>
                <w:i/>
                <w:iCs/>
                <w:color w:val="000000"/>
                <w:kern w:val="0"/>
                <w:sz w:val="18"/>
                <w:szCs w:val="18"/>
              </w:rPr>
            </w:pPr>
            <w:r>
              <w:rPr>
                <w:rFonts w:ascii="Courier New" w:hAnsi="Courier New" w:cs="Courier New"/>
                <w:i/>
                <w:iCs/>
                <w:color w:val="000000"/>
                <w:kern w:val="0"/>
                <w:sz w:val="18"/>
                <w:szCs w:val="18"/>
              </w:rPr>
              <w:t>　</w:t>
            </w:r>
          </w:p>
        </w:tc>
      </w:tr>
      <w:tr>
        <w:tblPrEx>
          <w:tblCellMar>
            <w:top w:w="0" w:type="dxa"/>
            <w:left w:w="108" w:type="dxa"/>
            <w:bottom w:w="0" w:type="dxa"/>
            <w:right w:w="108" w:type="dxa"/>
          </w:tblCellMar>
        </w:tblPrEx>
        <w:trPr>
          <w:trHeight w:val="432"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其中：财政资金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4,065.64</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4,065.64</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447"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财政专户管理资金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402"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单位资金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379"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其他资金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454" w:hRule="atLeast"/>
          <w:jc w:val="center"/>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绩效指标（90分）</w:t>
            </w: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一级指标</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二级指标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三级指标</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指标性质</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指标值</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度量单位</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完成值</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未完成原因分析</w:t>
            </w:r>
          </w:p>
        </w:tc>
      </w:tr>
      <w:tr>
        <w:tblPrEx>
          <w:tblCellMar>
            <w:top w:w="0" w:type="dxa"/>
            <w:left w:w="108" w:type="dxa"/>
            <w:bottom w:w="0" w:type="dxa"/>
            <w:right w:w="108" w:type="dxa"/>
          </w:tblCellMar>
        </w:tblPrEx>
        <w:trPr>
          <w:trHeight w:val="338"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产出指标</w:t>
            </w:r>
          </w:p>
        </w:tc>
        <w:tc>
          <w:tcPr>
            <w:tcW w:w="1238"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发放学生补助金额</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377</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lang w:val="en-US" w:eastAsia="zh-CN"/>
              </w:rPr>
              <w:t>377</w:t>
            </w:r>
            <w:r>
              <w:rPr>
                <w:rFonts w:hint="eastAsia" w:ascii="微软雅黑" w:hAnsi="微软雅黑" w:eastAsia="微软雅黑" w:cs="宋体"/>
                <w:i/>
                <w:iCs/>
                <w:color w:val="000000"/>
                <w:kern w:val="0"/>
                <w:sz w:val="16"/>
                <w:szCs w:val="16"/>
              </w:rPr>
              <w:t>　</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10</w:t>
            </w:r>
            <w:r>
              <w:rPr>
                <w:rFonts w:hint="eastAsia" w:ascii="宋体" w:hAnsi="宋体" w:cs="宋体"/>
                <w:color w:val="000000"/>
                <w:kern w:val="0"/>
                <w:sz w:val="18"/>
                <w:szCs w:val="18"/>
              </w:rPr>
              <w:t>　</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338"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38"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发放专项绩效</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1000</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hint="default" w:ascii="微软雅黑" w:hAnsi="微软雅黑" w:eastAsia="微软雅黑" w:cs="宋体"/>
                <w:i/>
                <w:iCs/>
                <w:color w:val="000000"/>
                <w:kern w:val="0"/>
                <w:sz w:val="16"/>
                <w:szCs w:val="16"/>
                <w:lang w:val="en-US" w:eastAsia="zh-CN"/>
              </w:rPr>
            </w:pPr>
            <w:r>
              <w:rPr>
                <w:rFonts w:hint="eastAsia" w:ascii="微软雅黑" w:hAnsi="微软雅黑" w:eastAsia="微软雅黑" w:cs="宋体"/>
                <w:i/>
                <w:iCs/>
                <w:color w:val="000000"/>
                <w:kern w:val="0"/>
                <w:sz w:val="16"/>
                <w:szCs w:val="16"/>
              </w:rPr>
              <w:t>　</w:t>
            </w:r>
            <w:r>
              <w:rPr>
                <w:rFonts w:hint="eastAsia" w:ascii="微软雅黑" w:hAnsi="微软雅黑" w:eastAsia="微软雅黑" w:cs="宋体"/>
                <w:i/>
                <w:iCs/>
                <w:color w:val="000000"/>
                <w:kern w:val="0"/>
                <w:sz w:val="16"/>
                <w:szCs w:val="16"/>
                <w:lang w:val="en-US" w:eastAsia="zh-CN"/>
              </w:rPr>
              <w:t>1135</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10</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338"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按时发放率</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lang w:val="en-US" w:eastAsia="zh-CN"/>
              </w:rPr>
              <w:t>100</w:t>
            </w:r>
            <w:r>
              <w:rPr>
                <w:rFonts w:hint="eastAsia" w:ascii="微软雅黑" w:hAnsi="微软雅黑" w:eastAsia="微软雅黑" w:cs="宋体"/>
                <w:i/>
                <w:iCs/>
                <w:color w:val="000000"/>
                <w:kern w:val="0"/>
                <w:sz w:val="16"/>
                <w:szCs w:val="16"/>
              </w:rPr>
              <w:t>　</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30</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454"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效益指标</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可持续影响指标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改善公费师范生生活、学习环境</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高中低</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hint="eastAsia" w:ascii="微软雅黑" w:hAnsi="微软雅黑" w:eastAsia="微软雅黑" w:cs="宋体"/>
                <w:i/>
                <w:iCs/>
                <w:color w:val="000000"/>
                <w:kern w:val="0"/>
                <w:sz w:val="16"/>
                <w:szCs w:val="16"/>
                <w:lang w:eastAsia="zh-CN"/>
              </w:rPr>
            </w:pPr>
            <w:r>
              <w:rPr>
                <w:rFonts w:hint="eastAsia" w:ascii="微软雅黑" w:hAnsi="微软雅黑" w:eastAsia="微软雅黑" w:cs="宋体"/>
                <w:i/>
                <w:iCs/>
                <w:color w:val="000000"/>
                <w:kern w:val="0"/>
                <w:sz w:val="16"/>
                <w:szCs w:val="16"/>
              </w:rPr>
              <w:t>　</w:t>
            </w:r>
            <w:r>
              <w:rPr>
                <w:rFonts w:hint="eastAsia" w:ascii="微软雅黑" w:hAnsi="微软雅黑" w:eastAsia="微软雅黑" w:cs="宋体"/>
                <w:i/>
                <w:iCs/>
                <w:color w:val="000000"/>
                <w:kern w:val="0"/>
                <w:sz w:val="16"/>
                <w:szCs w:val="16"/>
                <w:lang w:eastAsia="zh-CN"/>
              </w:rPr>
              <w:t>高</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30</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454"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满意度指标</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公费师范生和高层次人才满意度</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95</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hint="default" w:ascii="微软雅黑" w:hAnsi="微软雅黑" w:eastAsia="微软雅黑" w:cs="宋体"/>
                <w:i/>
                <w:iCs/>
                <w:color w:val="000000"/>
                <w:kern w:val="0"/>
                <w:sz w:val="16"/>
                <w:szCs w:val="16"/>
                <w:lang w:val="en-US" w:eastAsia="zh-CN"/>
              </w:rPr>
            </w:pPr>
            <w:r>
              <w:rPr>
                <w:rFonts w:hint="eastAsia" w:ascii="微软雅黑" w:hAnsi="微软雅黑" w:eastAsia="微软雅黑" w:cs="宋体"/>
                <w:i/>
                <w:iCs/>
                <w:color w:val="000000"/>
                <w:kern w:val="0"/>
                <w:sz w:val="16"/>
                <w:szCs w:val="16"/>
              </w:rPr>
              <w:t>　</w:t>
            </w:r>
            <w:r>
              <w:rPr>
                <w:rFonts w:hint="eastAsia" w:ascii="微软雅黑" w:hAnsi="微软雅黑" w:eastAsia="微软雅黑" w:cs="宋体"/>
                <w:i/>
                <w:iCs/>
                <w:color w:val="000000"/>
                <w:kern w:val="0"/>
                <w:sz w:val="16"/>
                <w:szCs w:val="16"/>
                <w:lang w:val="en-US" w:eastAsia="zh-CN"/>
              </w:rPr>
              <w:t>95</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10</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285" w:hRule="atLeast"/>
          <w:jc w:val="center"/>
        </w:trPr>
        <w:tc>
          <w:tcPr>
            <w:tcW w:w="779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合计</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576" w:type="dxa"/>
            <w:tcBorders>
              <w:top w:val="nil"/>
              <w:left w:val="nil"/>
              <w:bottom w:val="single" w:color="000000" w:sz="4" w:space="0"/>
              <w:right w:val="single" w:color="000000" w:sz="4" w:space="0"/>
            </w:tcBorders>
            <w:shd w:val="clear" w:color="auto" w:fill="auto"/>
            <w:vAlign w:val="center"/>
          </w:tcPr>
          <w:p>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974"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r>
      <w:tr>
        <w:tblPrEx>
          <w:tblCellMar>
            <w:top w:w="0" w:type="dxa"/>
            <w:left w:w="108" w:type="dxa"/>
            <w:bottom w:w="0" w:type="dxa"/>
            <w:right w:w="108" w:type="dxa"/>
          </w:tblCellMar>
        </w:tblPrEx>
        <w:trPr>
          <w:trHeight w:val="604" w:hRule="atLeast"/>
          <w:jc w:val="center"/>
        </w:trPr>
        <w:tc>
          <w:tcPr>
            <w:tcW w:w="576"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评价结论</w:t>
            </w:r>
          </w:p>
        </w:tc>
        <w:tc>
          <w:tcPr>
            <w:tcW w:w="9344"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hint="eastAsia" w:ascii="微软雅黑" w:hAnsi="微软雅黑" w:eastAsia="微软雅黑" w:cs="宋体"/>
                <w:i/>
                <w:iCs/>
                <w:color w:val="000000"/>
                <w:kern w:val="0"/>
                <w:sz w:val="16"/>
                <w:szCs w:val="16"/>
                <w:lang w:eastAsia="zh-CN"/>
              </w:rPr>
            </w:pPr>
            <w:r>
              <w:rPr>
                <w:rFonts w:hint="eastAsia" w:ascii="宋体" w:hAnsi="宋体" w:cs="宋体"/>
                <w:color w:val="000000"/>
                <w:kern w:val="0"/>
                <w:sz w:val="18"/>
                <w:szCs w:val="18"/>
                <w:lang w:eastAsia="zh-CN"/>
              </w:rPr>
              <w:t>完成</w:t>
            </w:r>
          </w:p>
        </w:tc>
      </w:tr>
      <w:tr>
        <w:tblPrEx>
          <w:tblCellMar>
            <w:top w:w="0" w:type="dxa"/>
            <w:left w:w="108" w:type="dxa"/>
            <w:bottom w:w="0" w:type="dxa"/>
            <w:right w:w="108" w:type="dxa"/>
          </w:tblCellMar>
        </w:tblPrEx>
        <w:trPr>
          <w:trHeight w:val="574" w:hRule="atLeast"/>
          <w:jc w:val="center"/>
        </w:trPr>
        <w:tc>
          <w:tcPr>
            <w:tcW w:w="576"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存在问题</w:t>
            </w:r>
          </w:p>
        </w:tc>
        <w:tc>
          <w:tcPr>
            <w:tcW w:w="9344"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i/>
                <w:iCs/>
                <w:color w:val="000000"/>
                <w:kern w:val="0"/>
                <w:sz w:val="16"/>
                <w:szCs w:val="16"/>
              </w:rPr>
            </w:pPr>
          </w:p>
        </w:tc>
      </w:tr>
      <w:tr>
        <w:tblPrEx>
          <w:tblCellMar>
            <w:top w:w="0" w:type="dxa"/>
            <w:left w:w="108" w:type="dxa"/>
            <w:bottom w:w="0" w:type="dxa"/>
            <w:right w:w="108" w:type="dxa"/>
          </w:tblCellMar>
        </w:tblPrEx>
        <w:trPr>
          <w:trHeight w:val="634" w:hRule="atLeast"/>
          <w:jc w:val="center"/>
        </w:trPr>
        <w:tc>
          <w:tcPr>
            <w:tcW w:w="576"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改进措施</w:t>
            </w:r>
          </w:p>
        </w:tc>
        <w:tc>
          <w:tcPr>
            <w:tcW w:w="9344"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i/>
                <w:iCs/>
                <w:color w:val="000000"/>
                <w:kern w:val="0"/>
                <w:sz w:val="16"/>
                <w:szCs w:val="16"/>
              </w:rPr>
            </w:pPr>
          </w:p>
        </w:tc>
      </w:tr>
      <w:tr>
        <w:tblPrEx>
          <w:tblCellMar>
            <w:top w:w="0" w:type="dxa"/>
            <w:left w:w="108" w:type="dxa"/>
            <w:bottom w:w="0" w:type="dxa"/>
            <w:right w:w="108" w:type="dxa"/>
          </w:tblCellMar>
        </w:tblPrEx>
        <w:trPr>
          <w:trHeight w:val="285" w:hRule="atLeast"/>
          <w:jc w:val="center"/>
        </w:trPr>
        <w:tc>
          <w:tcPr>
            <w:tcW w:w="520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hint="eastAsia" w:ascii="Courier New" w:hAnsi="Courier New" w:eastAsia="宋体" w:cs="Courier New"/>
                <w:color w:val="000000"/>
                <w:kern w:val="0"/>
                <w:sz w:val="18"/>
                <w:szCs w:val="18"/>
                <w:lang w:eastAsia="zh-CN"/>
              </w:rPr>
            </w:pPr>
            <w:r>
              <w:rPr>
                <w:rFonts w:hint="eastAsia" w:ascii="Courier New" w:hAnsi="Courier New" w:cs="Courier New"/>
                <w:color w:val="000000"/>
                <w:kern w:val="0"/>
                <w:sz w:val="18"/>
                <w:szCs w:val="18"/>
                <w:lang w:eastAsia="zh-CN"/>
              </w:rPr>
              <w:t>项目负责人：黄丽梅</w:t>
            </w:r>
          </w:p>
        </w:tc>
        <w:tc>
          <w:tcPr>
            <w:tcW w:w="4719" w:type="dxa"/>
            <w:gridSpan w:val="6"/>
            <w:tcBorders>
              <w:top w:val="single" w:color="000000" w:sz="4" w:space="0"/>
              <w:left w:val="nil"/>
              <w:bottom w:val="single" w:color="000000" w:sz="4" w:space="0"/>
              <w:right w:val="single" w:color="000000" w:sz="4" w:space="0"/>
            </w:tcBorders>
            <w:shd w:val="clear" w:color="auto" w:fill="auto"/>
            <w:vAlign w:val="center"/>
          </w:tcPr>
          <w:p>
            <w:pPr>
              <w:widowControl/>
              <w:jc w:val="left"/>
              <w:rPr>
                <w:rFonts w:hint="eastAsia" w:ascii="Courier New" w:hAnsi="Courier New" w:eastAsia="宋体" w:cs="Courier New"/>
                <w:color w:val="000000"/>
                <w:kern w:val="0"/>
                <w:sz w:val="18"/>
                <w:szCs w:val="18"/>
                <w:lang w:eastAsia="zh-CN"/>
              </w:rPr>
            </w:pPr>
            <w:r>
              <w:rPr>
                <w:rFonts w:hint="eastAsia" w:ascii="Courier New" w:hAnsi="Courier New" w:cs="Courier New"/>
                <w:color w:val="000000"/>
                <w:kern w:val="0"/>
                <w:sz w:val="18"/>
                <w:szCs w:val="18"/>
                <w:lang w:eastAsia="zh-CN"/>
              </w:rPr>
              <w:t>财务负责人：靳能泉</w:t>
            </w:r>
          </w:p>
        </w:tc>
      </w:tr>
      <w:tr>
        <w:tblPrEx>
          <w:tblCellMar>
            <w:top w:w="0" w:type="dxa"/>
            <w:left w:w="108" w:type="dxa"/>
            <w:bottom w:w="0" w:type="dxa"/>
            <w:right w:w="108" w:type="dxa"/>
          </w:tblCellMar>
        </w:tblPrEx>
        <w:trPr>
          <w:trHeight w:val="285" w:hRule="atLeast"/>
          <w:jc w:val="center"/>
        </w:trPr>
        <w:tc>
          <w:tcPr>
            <w:tcW w:w="576"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1049"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1238"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1793"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545"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846"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756"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991"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576"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576"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974"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r>
      <w:tr>
        <w:trPr>
          <w:trHeight w:val="904" w:hRule="atLeast"/>
          <w:jc w:val="center"/>
        </w:trPr>
        <w:tc>
          <w:tcPr>
            <w:tcW w:w="99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黑体" w:hAnsi="黑体" w:eastAsia="黑体" w:cs="宋体"/>
                <w:b/>
                <w:bCs/>
                <w:color w:val="000000"/>
                <w:kern w:val="0"/>
                <w:sz w:val="30"/>
                <w:szCs w:val="30"/>
              </w:rPr>
            </w:pPr>
            <w:r>
              <w:rPr>
                <w:rFonts w:hint="eastAsia" w:ascii="黑体" w:hAnsi="黑体" w:eastAsia="黑体" w:cs="宋体"/>
                <w:b/>
                <w:bCs/>
                <w:color w:val="000000"/>
                <w:kern w:val="0"/>
                <w:sz w:val="30"/>
                <w:szCs w:val="30"/>
              </w:rPr>
              <w:t>部门预算项目支出绩效自评表（2022年度）</w:t>
            </w:r>
          </w:p>
        </w:tc>
      </w:tr>
      <w:tr>
        <w:tblPrEx>
          <w:tblCellMar>
            <w:top w:w="0" w:type="dxa"/>
            <w:left w:w="108" w:type="dxa"/>
            <w:bottom w:w="0" w:type="dxa"/>
            <w:right w:w="108" w:type="dxa"/>
          </w:tblCellMar>
        </w:tblPrEx>
        <w:trPr>
          <w:trHeight w:val="285" w:hRule="atLeast"/>
          <w:jc w:val="center"/>
        </w:trPr>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项目名称</w:t>
            </w:r>
          </w:p>
        </w:tc>
        <w:tc>
          <w:tcPr>
            <w:tcW w:w="8295" w:type="dxa"/>
            <w:gridSpan w:val="9"/>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51000022T000005031292-高校共建与发展专项资金（中央支持地方高校发展）</w:t>
            </w:r>
          </w:p>
        </w:tc>
      </w:tr>
      <w:tr>
        <w:tblPrEx>
          <w:tblCellMar>
            <w:top w:w="0" w:type="dxa"/>
            <w:left w:w="108" w:type="dxa"/>
            <w:bottom w:w="0" w:type="dxa"/>
            <w:right w:w="108" w:type="dxa"/>
          </w:tblCellMar>
        </w:tblPrEx>
        <w:trPr>
          <w:trHeight w:val="514" w:hRule="atLeast"/>
          <w:jc w:val="center"/>
        </w:trPr>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主管部门</w:t>
            </w:r>
          </w:p>
        </w:tc>
        <w:tc>
          <w:tcPr>
            <w:tcW w:w="5178"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四川省教育厅部门</w:t>
            </w:r>
          </w:p>
        </w:tc>
        <w:tc>
          <w:tcPr>
            <w:tcW w:w="991" w:type="dxa"/>
            <w:tcBorders>
              <w:top w:val="nil"/>
              <w:left w:val="nil"/>
              <w:bottom w:val="nil"/>
              <w:right w:val="nil"/>
            </w:tcBorders>
            <w:shd w:val="clear" w:color="auto" w:fill="auto"/>
            <w:vAlign w:val="center"/>
          </w:tcPr>
          <w:p>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实施单位 （盖章）</w:t>
            </w:r>
          </w:p>
        </w:tc>
        <w:tc>
          <w:tcPr>
            <w:tcW w:w="21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四川文理学院</w:t>
            </w:r>
          </w:p>
        </w:tc>
      </w:tr>
      <w:tr>
        <w:trPr>
          <w:trHeight w:val="285" w:hRule="atLeast"/>
          <w:jc w:val="center"/>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项目基本情况</w:t>
            </w:r>
          </w:p>
        </w:tc>
        <w:tc>
          <w:tcPr>
            <w:tcW w:w="1049"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1.项目年度目标完成情况</w:t>
            </w:r>
          </w:p>
        </w:tc>
        <w:tc>
          <w:tcPr>
            <w:tcW w:w="5178"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项目年度目标</w:t>
            </w:r>
          </w:p>
        </w:tc>
        <w:tc>
          <w:tcPr>
            <w:tcW w:w="3117" w:type="dxa"/>
            <w:gridSpan w:val="4"/>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Courier New" w:hAnsi="Courier New" w:cs="Courier New"/>
                <w:color w:val="000000"/>
                <w:kern w:val="0"/>
                <w:sz w:val="18"/>
                <w:szCs w:val="18"/>
              </w:rPr>
            </w:pPr>
            <w:r>
              <w:rPr>
                <w:rFonts w:ascii="Courier New" w:hAnsi="Courier New" w:cs="Courier New"/>
                <w:color w:val="000000"/>
                <w:kern w:val="0"/>
                <w:sz w:val="18"/>
                <w:szCs w:val="18"/>
              </w:rPr>
              <w:t>年度目标完成情况</w:t>
            </w:r>
          </w:p>
        </w:tc>
      </w:tr>
      <w:tr>
        <w:tblPrEx>
          <w:tblCellMar>
            <w:top w:w="0" w:type="dxa"/>
            <w:left w:w="108" w:type="dxa"/>
            <w:bottom w:w="0" w:type="dxa"/>
            <w:right w:w="108" w:type="dxa"/>
          </w:tblCellMar>
        </w:tblPrEx>
        <w:trPr>
          <w:trHeight w:val="709"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5178"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根据学科发展方向，打造成熟的学科基础实验平台，构建知识、能力、素质一体化的工程实训基地；为学生适应企业生产的真实环境，提供职业技能和劳动素质培养的实践基地。</w:t>
            </w:r>
          </w:p>
        </w:tc>
        <w:tc>
          <w:tcPr>
            <w:tcW w:w="3117" w:type="dxa"/>
            <w:gridSpan w:val="4"/>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　</w:t>
            </w:r>
            <w:r>
              <w:rPr>
                <w:rFonts w:hint="eastAsia" w:ascii="Courier New" w:hAnsi="Courier New" w:cs="Courier New"/>
                <w:color w:val="000000"/>
                <w:kern w:val="0"/>
                <w:sz w:val="18"/>
                <w:szCs w:val="18"/>
                <w:lang w:eastAsia="zh-CN"/>
              </w:rPr>
              <w:t>完成</w:t>
            </w:r>
          </w:p>
        </w:tc>
      </w:tr>
      <w:tr>
        <w:tblPrEx>
          <w:tblCellMar>
            <w:top w:w="0" w:type="dxa"/>
            <w:left w:w="108" w:type="dxa"/>
            <w:bottom w:w="0" w:type="dxa"/>
            <w:right w:w="108" w:type="dxa"/>
          </w:tblCellMar>
        </w:tblPrEx>
        <w:trPr>
          <w:trHeight w:val="694"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2.项目实施内容及过程概述</w:t>
            </w:r>
          </w:p>
        </w:tc>
        <w:tc>
          <w:tcPr>
            <w:tcW w:w="8295" w:type="dxa"/>
            <w:gridSpan w:val="9"/>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打造成熟的学科基础实验平台，构建知识、能力、素质一体化的工程实训基地</w:t>
            </w:r>
          </w:p>
        </w:tc>
      </w:tr>
      <w:tr>
        <w:tblPrEx>
          <w:tblCellMar>
            <w:top w:w="0" w:type="dxa"/>
            <w:left w:w="108" w:type="dxa"/>
            <w:bottom w:w="0" w:type="dxa"/>
            <w:right w:w="108" w:type="dxa"/>
          </w:tblCellMar>
        </w:tblPrEx>
        <w:trPr>
          <w:trHeight w:val="360" w:hRule="atLeast"/>
          <w:jc w:val="center"/>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预算执行情况（10分）</w:t>
            </w: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年度预算数（万元）</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年初预算</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调整后预算数</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预算执行数</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预算执行率</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原因</w:t>
            </w:r>
          </w:p>
        </w:tc>
      </w:tr>
      <w:tr>
        <w:tblPrEx>
          <w:tblCellMar>
            <w:top w:w="0" w:type="dxa"/>
            <w:left w:w="108" w:type="dxa"/>
            <w:bottom w:w="0" w:type="dxa"/>
            <w:right w:w="108" w:type="dxa"/>
          </w:tblCellMar>
        </w:tblPrEx>
        <w:trPr>
          <w:trHeight w:val="387"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总额</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330.79</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330.79</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327.43</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98.98%</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10</w:t>
            </w:r>
            <w:r>
              <w:rPr>
                <w:rFonts w:hint="eastAsia" w:ascii="宋体" w:hAnsi="宋体" w:cs="宋体"/>
                <w:color w:val="000000"/>
                <w:kern w:val="0"/>
                <w:sz w:val="18"/>
                <w:szCs w:val="18"/>
              </w:rPr>
              <w:t>　</w:t>
            </w:r>
          </w:p>
        </w:tc>
        <w:tc>
          <w:tcPr>
            <w:tcW w:w="974"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Courier New" w:hAnsi="Courier New" w:cs="Courier New"/>
                <w:i/>
                <w:iCs/>
                <w:color w:val="000000"/>
                <w:kern w:val="0"/>
                <w:sz w:val="18"/>
                <w:szCs w:val="18"/>
              </w:rPr>
            </w:pPr>
            <w:r>
              <w:rPr>
                <w:rFonts w:ascii="Courier New" w:hAnsi="Courier New" w:cs="Courier New"/>
                <w:i/>
                <w:iCs/>
                <w:color w:val="000000"/>
                <w:kern w:val="0"/>
                <w:sz w:val="18"/>
                <w:szCs w:val="18"/>
              </w:rPr>
              <w:t>　</w:t>
            </w:r>
          </w:p>
        </w:tc>
      </w:tr>
      <w:tr>
        <w:tblPrEx>
          <w:tblCellMar>
            <w:top w:w="0" w:type="dxa"/>
            <w:left w:w="108" w:type="dxa"/>
            <w:bottom w:w="0" w:type="dxa"/>
            <w:right w:w="108" w:type="dxa"/>
          </w:tblCellMar>
        </w:tblPrEx>
        <w:trPr>
          <w:trHeight w:val="432"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其中：财政资金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330.79</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330.79</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327.43</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98.98%</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447"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财政专户管理资金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402"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单位资金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379"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其他资金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454" w:hRule="atLeast"/>
          <w:jc w:val="center"/>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绩效指标（90分）</w:t>
            </w: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一级指标</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二级指标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三级指标</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指标性质</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指标值</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度量单位</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完成值</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未完成原因分析</w:t>
            </w:r>
          </w:p>
        </w:tc>
      </w:tr>
      <w:tr>
        <w:tblPrEx>
          <w:tblCellMar>
            <w:top w:w="0" w:type="dxa"/>
            <w:left w:w="108" w:type="dxa"/>
            <w:bottom w:w="0" w:type="dxa"/>
            <w:right w:w="108" w:type="dxa"/>
          </w:tblCellMar>
        </w:tblPrEx>
        <w:trPr>
          <w:trHeight w:val="338"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产出指标</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设备质量</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95</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lang w:val="en-US" w:eastAsia="zh-CN"/>
              </w:rPr>
              <w:t>95</w:t>
            </w:r>
            <w:r>
              <w:rPr>
                <w:rFonts w:hint="eastAsia" w:ascii="微软雅黑" w:hAnsi="微软雅黑" w:eastAsia="微软雅黑" w:cs="宋体"/>
                <w:i/>
                <w:iCs/>
                <w:color w:val="000000"/>
                <w:kern w:val="0"/>
                <w:sz w:val="16"/>
                <w:szCs w:val="16"/>
              </w:rPr>
              <w:t>　</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40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40</w:t>
            </w:r>
            <w:r>
              <w:rPr>
                <w:rFonts w:hint="eastAsia" w:ascii="宋体" w:hAnsi="宋体" w:cs="宋体"/>
                <w:color w:val="000000"/>
                <w:kern w:val="0"/>
                <w:sz w:val="18"/>
                <w:szCs w:val="18"/>
              </w:rPr>
              <w:t>　</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338"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效益指标</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可持续发展指标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改善师生教学实验环境</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高中低</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hint="eastAsia" w:ascii="微软雅黑" w:hAnsi="微软雅黑" w:eastAsia="微软雅黑" w:cs="宋体"/>
                <w:i/>
                <w:iCs/>
                <w:color w:val="000000"/>
                <w:kern w:val="0"/>
                <w:sz w:val="16"/>
                <w:szCs w:val="16"/>
                <w:lang w:eastAsia="zh-CN"/>
              </w:rPr>
            </w:pPr>
            <w:r>
              <w:rPr>
                <w:rFonts w:hint="eastAsia" w:ascii="微软雅黑" w:hAnsi="微软雅黑" w:eastAsia="微软雅黑" w:cs="宋体"/>
                <w:i/>
                <w:iCs/>
                <w:color w:val="000000"/>
                <w:kern w:val="0"/>
                <w:sz w:val="16"/>
                <w:szCs w:val="16"/>
              </w:rPr>
              <w:t>　</w:t>
            </w:r>
            <w:r>
              <w:rPr>
                <w:rFonts w:hint="eastAsia" w:ascii="微软雅黑" w:hAnsi="微软雅黑" w:eastAsia="微软雅黑" w:cs="宋体"/>
                <w:i/>
                <w:iCs/>
                <w:color w:val="000000"/>
                <w:kern w:val="0"/>
                <w:sz w:val="16"/>
                <w:szCs w:val="16"/>
                <w:lang w:eastAsia="zh-CN"/>
              </w:rPr>
              <w:t>高</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20</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454"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满意度指标</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师生综合满意度</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95</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hint="default" w:ascii="微软雅黑" w:hAnsi="微软雅黑" w:eastAsia="微软雅黑" w:cs="宋体"/>
                <w:i/>
                <w:iCs/>
                <w:color w:val="000000"/>
                <w:kern w:val="0"/>
                <w:sz w:val="16"/>
                <w:szCs w:val="16"/>
                <w:lang w:val="en-US" w:eastAsia="zh-CN"/>
              </w:rPr>
            </w:pPr>
            <w:r>
              <w:rPr>
                <w:rFonts w:hint="eastAsia" w:ascii="微软雅黑" w:hAnsi="微软雅黑" w:eastAsia="微软雅黑" w:cs="宋体"/>
                <w:i/>
                <w:iCs/>
                <w:color w:val="000000"/>
                <w:kern w:val="0"/>
                <w:sz w:val="16"/>
                <w:szCs w:val="16"/>
              </w:rPr>
              <w:t>　</w:t>
            </w:r>
            <w:r>
              <w:rPr>
                <w:rFonts w:hint="eastAsia" w:ascii="微软雅黑" w:hAnsi="微软雅黑" w:eastAsia="微软雅黑" w:cs="宋体"/>
                <w:i/>
                <w:iCs/>
                <w:color w:val="000000"/>
                <w:kern w:val="0"/>
                <w:sz w:val="16"/>
                <w:szCs w:val="16"/>
                <w:lang w:val="en-US" w:eastAsia="zh-CN"/>
              </w:rPr>
              <w:t>95</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10</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338"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成本指标</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投资总额</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330.78</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hint="default" w:ascii="微软雅黑" w:hAnsi="微软雅黑" w:eastAsia="微软雅黑" w:cs="宋体"/>
                <w:i/>
                <w:iCs/>
                <w:color w:val="000000"/>
                <w:kern w:val="0"/>
                <w:sz w:val="16"/>
                <w:szCs w:val="16"/>
                <w:lang w:val="en-US" w:eastAsia="zh-CN"/>
              </w:rPr>
            </w:pPr>
            <w:r>
              <w:rPr>
                <w:rFonts w:hint="eastAsia" w:ascii="微软雅黑" w:hAnsi="微软雅黑" w:eastAsia="微软雅黑" w:cs="宋体"/>
                <w:i/>
                <w:iCs/>
                <w:color w:val="000000"/>
                <w:kern w:val="0"/>
                <w:sz w:val="16"/>
                <w:szCs w:val="16"/>
              </w:rPr>
              <w:t>　</w:t>
            </w:r>
            <w:r>
              <w:rPr>
                <w:rFonts w:hint="eastAsia" w:ascii="微软雅黑" w:hAnsi="微软雅黑" w:eastAsia="微软雅黑" w:cs="宋体"/>
                <w:i/>
                <w:iCs/>
                <w:color w:val="000000"/>
                <w:kern w:val="0"/>
                <w:sz w:val="16"/>
                <w:szCs w:val="16"/>
                <w:lang w:val="en-US" w:eastAsia="zh-CN"/>
              </w:rPr>
              <w:t>327</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20</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285" w:hRule="atLeast"/>
          <w:jc w:val="center"/>
        </w:trPr>
        <w:tc>
          <w:tcPr>
            <w:tcW w:w="779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合计</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576" w:type="dxa"/>
            <w:tcBorders>
              <w:top w:val="nil"/>
              <w:left w:val="nil"/>
              <w:bottom w:val="single" w:color="000000" w:sz="4" w:space="0"/>
              <w:right w:val="single" w:color="000000" w:sz="4" w:space="0"/>
            </w:tcBorders>
            <w:shd w:val="clear" w:color="auto" w:fill="auto"/>
            <w:vAlign w:val="center"/>
          </w:tcPr>
          <w:p>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974"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r>
      <w:tr>
        <w:tblPrEx>
          <w:tblCellMar>
            <w:top w:w="0" w:type="dxa"/>
            <w:left w:w="108" w:type="dxa"/>
            <w:bottom w:w="0" w:type="dxa"/>
            <w:right w:w="108" w:type="dxa"/>
          </w:tblCellMar>
        </w:tblPrEx>
        <w:trPr>
          <w:trHeight w:val="604" w:hRule="atLeast"/>
          <w:jc w:val="center"/>
        </w:trPr>
        <w:tc>
          <w:tcPr>
            <w:tcW w:w="576"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评价结论</w:t>
            </w:r>
          </w:p>
        </w:tc>
        <w:tc>
          <w:tcPr>
            <w:tcW w:w="9344"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hint="eastAsia" w:ascii="微软雅黑" w:hAnsi="微软雅黑" w:eastAsia="微软雅黑" w:cs="宋体"/>
                <w:i/>
                <w:iCs/>
                <w:color w:val="000000"/>
                <w:kern w:val="0"/>
                <w:sz w:val="16"/>
                <w:szCs w:val="16"/>
                <w:lang w:eastAsia="zh-CN"/>
              </w:rPr>
            </w:pPr>
            <w:r>
              <w:rPr>
                <w:rFonts w:hint="eastAsia" w:ascii="宋体" w:hAnsi="宋体" w:cs="宋体"/>
                <w:color w:val="000000"/>
                <w:kern w:val="0"/>
                <w:sz w:val="18"/>
                <w:szCs w:val="18"/>
                <w:lang w:eastAsia="zh-CN"/>
              </w:rPr>
              <w:t>完</w:t>
            </w:r>
            <w:r>
              <w:rPr>
                <w:rFonts w:hint="eastAsia" w:ascii="宋体" w:hAnsi="宋体" w:cs="宋体"/>
                <w:color w:val="000000"/>
                <w:kern w:val="0"/>
                <w:sz w:val="18"/>
                <w:szCs w:val="18"/>
                <w:lang w:eastAsia="zh-CN"/>
              </w:rPr>
              <w:t>成</w:t>
            </w:r>
          </w:p>
        </w:tc>
      </w:tr>
      <w:tr>
        <w:tblPrEx>
          <w:tblCellMar>
            <w:top w:w="0" w:type="dxa"/>
            <w:left w:w="108" w:type="dxa"/>
            <w:bottom w:w="0" w:type="dxa"/>
            <w:right w:w="108" w:type="dxa"/>
          </w:tblCellMar>
        </w:tblPrEx>
        <w:trPr>
          <w:trHeight w:val="574" w:hRule="atLeast"/>
          <w:jc w:val="center"/>
        </w:trPr>
        <w:tc>
          <w:tcPr>
            <w:tcW w:w="576"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存在问题</w:t>
            </w:r>
          </w:p>
        </w:tc>
        <w:tc>
          <w:tcPr>
            <w:tcW w:w="9344"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i/>
                <w:iCs/>
                <w:color w:val="000000"/>
                <w:kern w:val="0"/>
                <w:sz w:val="16"/>
                <w:szCs w:val="16"/>
              </w:rPr>
            </w:pPr>
          </w:p>
        </w:tc>
      </w:tr>
      <w:tr>
        <w:tblPrEx>
          <w:tblCellMar>
            <w:top w:w="0" w:type="dxa"/>
            <w:left w:w="108" w:type="dxa"/>
            <w:bottom w:w="0" w:type="dxa"/>
            <w:right w:w="108" w:type="dxa"/>
          </w:tblCellMar>
        </w:tblPrEx>
        <w:trPr>
          <w:trHeight w:val="634" w:hRule="atLeast"/>
          <w:jc w:val="center"/>
        </w:trPr>
        <w:tc>
          <w:tcPr>
            <w:tcW w:w="576"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改进措施</w:t>
            </w:r>
          </w:p>
        </w:tc>
        <w:tc>
          <w:tcPr>
            <w:tcW w:w="9344"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i/>
                <w:iCs/>
                <w:color w:val="000000"/>
                <w:kern w:val="0"/>
                <w:sz w:val="16"/>
                <w:szCs w:val="16"/>
              </w:rPr>
            </w:pPr>
          </w:p>
        </w:tc>
      </w:tr>
      <w:tr>
        <w:tblPrEx>
          <w:tblCellMar>
            <w:top w:w="0" w:type="dxa"/>
            <w:left w:w="108" w:type="dxa"/>
            <w:bottom w:w="0" w:type="dxa"/>
            <w:right w:w="108" w:type="dxa"/>
          </w:tblCellMar>
        </w:tblPrEx>
        <w:trPr>
          <w:trHeight w:val="285" w:hRule="atLeast"/>
          <w:jc w:val="center"/>
        </w:trPr>
        <w:tc>
          <w:tcPr>
            <w:tcW w:w="520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hint="eastAsia" w:ascii="Courier New" w:hAnsi="Courier New" w:eastAsia="宋体" w:cs="Courier New"/>
                <w:color w:val="000000"/>
                <w:kern w:val="0"/>
                <w:sz w:val="18"/>
                <w:szCs w:val="18"/>
                <w:lang w:eastAsia="zh-CN"/>
              </w:rPr>
            </w:pPr>
            <w:r>
              <w:rPr>
                <w:rFonts w:hint="eastAsia" w:ascii="Courier New" w:hAnsi="Courier New" w:cs="Courier New"/>
                <w:color w:val="000000"/>
                <w:kern w:val="0"/>
                <w:sz w:val="18"/>
                <w:szCs w:val="18"/>
                <w:lang w:eastAsia="zh-CN"/>
              </w:rPr>
              <w:t>项目负责人：黄丽梅</w:t>
            </w:r>
          </w:p>
        </w:tc>
        <w:tc>
          <w:tcPr>
            <w:tcW w:w="4719" w:type="dxa"/>
            <w:gridSpan w:val="6"/>
            <w:tcBorders>
              <w:top w:val="single" w:color="000000" w:sz="4" w:space="0"/>
              <w:left w:val="nil"/>
              <w:bottom w:val="single" w:color="000000" w:sz="4" w:space="0"/>
              <w:right w:val="single" w:color="000000" w:sz="4" w:space="0"/>
            </w:tcBorders>
            <w:shd w:val="clear" w:color="auto" w:fill="auto"/>
            <w:vAlign w:val="center"/>
          </w:tcPr>
          <w:p>
            <w:pPr>
              <w:widowControl/>
              <w:jc w:val="left"/>
              <w:rPr>
                <w:rFonts w:hint="eastAsia" w:ascii="Courier New" w:hAnsi="Courier New" w:eastAsia="宋体" w:cs="Courier New"/>
                <w:color w:val="000000"/>
                <w:kern w:val="0"/>
                <w:sz w:val="18"/>
                <w:szCs w:val="18"/>
                <w:lang w:eastAsia="zh-CN"/>
              </w:rPr>
            </w:pPr>
            <w:r>
              <w:rPr>
                <w:rFonts w:hint="eastAsia" w:ascii="Courier New" w:hAnsi="Courier New" w:cs="Courier New"/>
                <w:color w:val="000000"/>
                <w:kern w:val="0"/>
                <w:sz w:val="18"/>
                <w:szCs w:val="18"/>
                <w:lang w:eastAsia="zh-CN"/>
              </w:rPr>
              <w:t>财务负责人：靳能泉</w:t>
            </w:r>
          </w:p>
        </w:tc>
      </w:tr>
      <w:tr>
        <w:tblPrEx>
          <w:tblCellMar>
            <w:top w:w="0" w:type="dxa"/>
            <w:left w:w="108" w:type="dxa"/>
            <w:bottom w:w="0" w:type="dxa"/>
            <w:right w:w="108" w:type="dxa"/>
          </w:tblCellMar>
        </w:tblPrEx>
        <w:trPr>
          <w:trHeight w:val="285" w:hRule="atLeast"/>
          <w:jc w:val="center"/>
        </w:trPr>
        <w:tc>
          <w:tcPr>
            <w:tcW w:w="576"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1049"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1238"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1793"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545"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846"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756"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991"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576"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576"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974"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r>
      <w:tr>
        <w:trPr>
          <w:trHeight w:val="904" w:hRule="atLeast"/>
          <w:jc w:val="center"/>
        </w:trPr>
        <w:tc>
          <w:tcPr>
            <w:tcW w:w="99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黑体" w:hAnsi="黑体" w:eastAsia="黑体" w:cs="宋体"/>
                <w:b/>
                <w:bCs/>
                <w:color w:val="000000"/>
                <w:kern w:val="0"/>
                <w:sz w:val="30"/>
                <w:szCs w:val="30"/>
              </w:rPr>
            </w:pPr>
            <w:r>
              <w:rPr>
                <w:rFonts w:hint="eastAsia" w:ascii="黑体" w:hAnsi="黑体" w:eastAsia="黑体" w:cs="宋体"/>
                <w:b/>
                <w:bCs/>
                <w:color w:val="000000"/>
                <w:kern w:val="0"/>
                <w:sz w:val="30"/>
                <w:szCs w:val="30"/>
              </w:rPr>
              <w:t>部门预算项目支出绩效自评表（2022年度）</w:t>
            </w:r>
          </w:p>
        </w:tc>
      </w:tr>
      <w:tr>
        <w:tblPrEx>
          <w:tblCellMar>
            <w:top w:w="0" w:type="dxa"/>
            <w:left w:w="108" w:type="dxa"/>
            <w:bottom w:w="0" w:type="dxa"/>
            <w:right w:w="108" w:type="dxa"/>
          </w:tblCellMar>
        </w:tblPrEx>
        <w:trPr>
          <w:trHeight w:val="285" w:hRule="atLeast"/>
          <w:jc w:val="center"/>
        </w:trPr>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项目名称</w:t>
            </w:r>
          </w:p>
        </w:tc>
        <w:tc>
          <w:tcPr>
            <w:tcW w:w="8295" w:type="dxa"/>
            <w:gridSpan w:val="9"/>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51000022T000005035103-一般债券用于省属高校</w:t>
            </w:r>
          </w:p>
        </w:tc>
      </w:tr>
      <w:tr>
        <w:tblPrEx>
          <w:tblCellMar>
            <w:top w:w="0" w:type="dxa"/>
            <w:left w:w="108" w:type="dxa"/>
            <w:bottom w:w="0" w:type="dxa"/>
            <w:right w:w="108" w:type="dxa"/>
          </w:tblCellMar>
        </w:tblPrEx>
        <w:trPr>
          <w:trHeight w:val="514" w:hRule="atLeast"/>
          <w:jc w:val="center"/>
        </w:trPr>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主管部门</w:t>
            </w:r>
          </w:p>
        </w:tc>
        <w:tc>
          <w:tcPr>
            <w:tcW w:w="5178"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四川省教育厅部门</w:t>
            </w:r>
          </w:p>
        </w:tc>
        <w:tc>
          <w:tcPr>
            <w:tcW w:w="991" w:type="dxa"/>
            <w:tcBorders>
              <w:top w:val="nil"/>
              <w:left w:val="nil"/>
              <w:bottom w:val="nil"/>
              <w:right w:val="nil"/>
            </w:tcBorders>
            <w:shd w:val="clear" w:color="auto" w:fill="auto"/>
            <w:vAlign w:val="center"/>
          </w:tcPr>
          <w:p>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实施单位 （盖章）</w:t>
            </w:r>
          </w:p>
        </w:tc>
        <w:tc>
          <w:tcPr>
            <w:tcW w:w="21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四川文理学院</w:t>
            </w:r>
          </w:p>
        </w:tc>
      </w:tr>
      <w:tr>
        <w:trPr>
          <w:trHeight w:val="285" w:hRule="atLeast"/>
          <w:jc w:val="center"/>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项目基本情况</w:t>
            </w:r>
          </w:p>
        </w:tc>
        <w:tc>
          <w:tcPr>
            <w:tcW w:w="1049"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1.项目年度目标完成情况</w:t>
            </w:r>
          </w:p>
        </w:tc>
        <w:tc>
          <w:tcPr>
            <w:tcW w:w="5178"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项目年度目标</w:t>
            </w:r>
          </w:p>
        </w:tc>
        <w:tc>
          <w:tcPr>
            <w:tcW w:w="3117" w:type="dxa"/>
            <w:gridSpan w:val="4"/>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Courier New" w:hAnsi="Courier New" w:cs="Courier New"/>
                <w:color w:val="000000"/>
                <w:kern w:val="0"/>
                <w:sz w:val="18"/>
                <w:szCs w:val="18"/>
              </w:rPr>
            </w:pPr>
            <w:r>
              <w:rPr>
                <w:rFonts w:ascii="Courier New" w:hAnsi="Courier New" w:cs="Courier New"/>
                <w:color w:val="000000"/>
                <w:kern w:val="0"/>
                <w:sz w:val="18"/>
                <w:szCs w:val="18"/>
              </w:rPr>
              <w:t>年度目标完成情况</w:t>
            </w:r>
          </w:p>
        </w:tc>
      </w:tr>
      <w:tr>
        <w:tblPrEx>
          <w:tblCellMar>
            <w:top w:w="0" w:type="dxa"/>
            <w:left w:w="108" w:type="dxa"/>
            <w:bottom w:w="0" w:type="dxa"/>
            <w:right w:w="108" w:type="dxa"/>
          </w:tblCellMar>
        </w:tblPrEx>
        <w:trPr>
          <w:trHeight w:val="709"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5178"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完成理工实验楼、13-16号学生公寓、学生食堂等建设，改善学校办学条件、促进学校事业整体发展。</w:t>
            </w:r>
          </w:p>
        </w:tc>
        <w:tc>
          <w:tcPr>
            <w:tcW w:w="3117" w:type="dxa"/>
            <w:gridSpan w:val="4"/>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　</w:t>
            </w:r>
            <w:r>
              <w:rPr>
                <w:rFonts w:hint="eastAsia" w:ascii="Courier New" w:hAnsi="Courier New" w:cs="Courier New"/>
                <w:color w:val="000000"/>
                <w:kern w:val="0"/>
                <w:sz w:val="18"/>
                <w:szCs w:val="18"/>
                <w:lang w:eastAsia="zh-CN"/>
              </w:rPr>
              <w:t>完成</w:t>
            </w:r>
          </w:p>
        </w:tc>
      </w:tr>
      <w:tr>
        <w:tblPrEx>
          <w:tblCellMar>
            <w:top w:w="0" w:type="dxa"/>
            <w:left w:w="108" w:type="dxa"/>
            <w:bottom w:w="0" w:type="dxa"/>
            <w:right w:w="108" w:type="dxa"/>
          </w:tblCellMar>
        </w:tblPrEx>
        <w:trPr>
          <w:trHeight w:val="694"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2.项目实施内容及过程概述</w:t>
            </w:r>
          </w:p>
        </w:tc>
        <w:tc>
          <w:tcPr>
            <w:tcW w:w="8295" w:type="dxa"/>
            <w:gridSpan w:val="9"/>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完成理工实验楼、13-16号学生公寓、学生食堂等建设</w:t>
            </w:r>
          </w:p>
        </w:tc>
      </w:tr>
      <w:tr>
        <w:tblPrEx>
          <w:tblCellMar>
            <w:top w:w="0" w:type="dxa"/>
            <w:left w:w="108" w:type="dxa"/>
            <w:bottom w:w="0" w:type="dxa"/>
            <w:right w:w="108" w:type="dxa"/>
          </w:tblCellMar>
        </w:tblPrEx>
        <w:trPr>
          <w:trHeight w:val="360" w:hRule="atLeast"/>
          <w:jc w:val="center"/>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预算执行情况（10分）</w:t>
            </w: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年度预算数（万元）</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年初预算</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调整后预算数</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预算执行数</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预算执行率</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原因</w:t>
            </w:r>
          </w:p>
        </w:tc>
      </w:tr>
      <w:tr>
        <w:tblPrEx>
          <w:tblCellMar>
            <w:top w:w="0" w:type="dxa"/>
            <w:left w:w="108" w:type="dxa"/>
            <w:bottom w:w="0" w:type="dxa"/>
            <w:right w:w="108" w:type="dxa"/>
          </w:tblCellMar>
        </w:tblPrEx>
        <w:trPr>
          <w:trHeight w:val="387"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总额</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2,024.47</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2,024.47</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2,024.47</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10</w:t>
            </w:r>
            <w:r>
              <w:rPr>
                <w:rFonts w:hint="eastAsia" w:ascii="宋体" w:hAnsi="宋体" w:cs="宋体"/>
                <w:color w:val="000000"/>
                <w:kern w:val="0"/>
                <w:sz w:val="18"/>
                <w:szCs w:val="18"/>
              </w:rPr>
              <w:t>　</w:t>
            </w:r>
          </w:p>
        </w:tc>
        <w:tc>
          <w:tcPr>
            <w:tcW w:w="974"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Courier New" w:hAnsi="Courier New" w:cs="Courier New"/>
                <w:i/>
                <w:iCs/>
                <w:color w:val="000000"/>
                <w:kern w:val="0"/>
                <w:sz w:val="18"/>
                <w:szCs w:val="18"/>
              </w:rPr>
            </w:pPr>
            <w:r>
              <w:rPr>
                <w:rFonts w:ascii="Courier New" w:hAnsi="Courier New" w:cs="Courier New"/>
                <w:i/>
                <w:iCs/>
                <w:color w:val="000000"/>
                <w:kern w:val="0"/>
                <w:sz w:val="18"/>
                <w:szCs w:val="18"/>
              </w:rPr>
              <w:t>　</w:t>
            </w:r>
          </w:p>
        </w:tc>
      </w:tr>
      <w:tr>
        <w:tblPrEx>
          <w:tblCellMar>
            <w:top w:w="0" w:type="dxa"/>
            <w:left w:w="108" w:type="dxa"/>
            <w:bottom w:w="0" w:type="dxa"/>
            <w:right w:w="108" w:type="dxa"/>
          </w:tblCellMar>
        </w:tblPrEx>
        <w:trPr>
          <w:trHeight w:val="432"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其中：财政资金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2,024.47</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2,024.47</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2,024.47</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447"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财政专户管理资金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402"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单位资金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379"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其他资金</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14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7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454" w:hRule="atLeast"/>
          <w:jc w:val="center"/>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绩效指标（90分）</w:t>
            </w: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一级指标</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二级指标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三级指标</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指标性质</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指标值</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度量单位</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完成值</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未完成原因分析</w:t>
            </w:r>
          </w:p>
        </w:tc>
      </w:tr>
      <w:tr>
        <w:tblPrEx>
          <w:tblCellMar>
            <w:top w:w="0" w:type="dxa"/>
            <w:left w:w="108" w:type="dxa"/>
            <w:bottom w:w="0" w:type="dxa"/>
            <w:right w:w="108" w:type="dxa"/>
          </w:tblCellMar>
        </w:tblPrEx>
        <w:trPr>
          <w:trHeight w:val="338"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产出指标</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主体工程合格率</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95</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hint="default" w:ascii="微软雅黑" w:hAnsi="微软雅黑" w:eastAsia="微软雅黑" w:cs="宋体"/>
                <w:i/>
                <w:iCs/>
                <w:color w:val="000000"/>
                <w:kern w:val="0"/>
                <w:sz w:val="16"/>
                <w:szCs w:val="16"/>
                <w:lang w:val="en-US" w:eastAsia="zh-CN"/>
              </w:rPr>
            </w:pPr>
            <w:r>
              <w:rPr>
                <w:rFonts w:hint="eastAsia" w:ascii="微软雅黑" w:hAnsi="微软雅黑" w:eastAsia="微软雅黑" w:cs="宋体"/>
                <w:i/>
                <w:iCs/>
                <w:color w:val="000000"/>
                <w:kern w:val="0"/>
                <w:sz w:val="16"/>
                <w:szCs w:val="16"/>
              </w:rPr>
              <w:t>　</w:t>
            </w:r>
            <w:r>
              <w:rPr>
                <w:rFonts w:hint="eastAsia" w:ascii="微软雅黑" w:hAnsi="微软雅黑" w:eastAsia="微软雅黑" w:cs="宋体"/>
                <w:i/>
                <w:iCs/>
                <w:color w:val="000000"/>
                <w:kern w:val="0"/>
                <w:sz w:val="16"/>
                <w:szCs w:val="16"/>
                <w:lang w:val="en-US" w:eastAsia="zh-CN"/>
              </w:rPr>
              <w:t>95</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40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40</w:t>
            </w:r>
            <w:r>
              <w:rPr>
                <w:rFonts w:hint="eastAsia" w:ascii="宋体" w:hAnsi="宋体" w:cs="宋体"/>
                <w:color w:val="000000"/>
                <w:kern w:val="0"/>
                <w:sz w:val="18"/>
                <w:szCs w:val="18"/>
              </w:rPr>
              <w:t>　</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454"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效益指标</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可持续影响指标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改善办学条件，优化教学科研环境</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优良中低差</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hint="eastAsia" w:ascii="微软雅黑" w:hAnsi="微软雅黑" w:eastAsia="微软雅黑" w:cs="宋体"/>
                <w:i/>
                <w:iCs/>
                <w:color w:val="000000"/>
                <w:kern w:val="0"/>
                <w:sz w:val="16"/>
                <w:szCs w:val="16"/>
                <w:lang w:eastAsia="zh-CN"/>
              </w:rPr>
            </w:pPr>
            <w:r>
              <w:rPr>
                <w:rFonts w:hint="eastAsia" w:ascii="微软雅黑" w:hAnsi="微软雅黑" w:eastAsia="微软雅黑" w:cs="宋体"/>
                <w:i/>
                <w:iCs/>
                <w:color w:val="000000"/>
                <w:kern w:val="0"/>
                <w:sz w:val="16"/>
                <w:szCs w:val="16"/>
              </w:rPr>
              <w:t>　</w:t>
            </w:r>
            <w:r>
              <w:rPr>
                <w:rFonts w:hint="eastAsia" w:ascii="微软雅黑" w:hAnsi="微软雅黑" w:eastAsia="微软雅黑" w:cs="宋体"/>
                <w:i/>
                <w:iCs/>
                <w:color w:val="000000"/>
                <w:kern w:val="0"/>
                <w:sz w:val="16"/>
                <w:szCs w:val="16"/>
                <w:lang w:eastAsia="zh-CN"/>
              </w:rPr>
              <w:t>优</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20</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454"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满意度指标</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师生满意度</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95</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hint="default" w:ascii="微软雅黑" w:hAnsi="微软雅黑" w:eastAsia="微软雅黑" w:cs="宋体"/>
                <w:i/>
                <w:iCs/>
                <w:color w:val="000000"/>
                <w:kern w:val="0"/>
                <w:sz w:val="16"/>
                <w:szCs w:val="16"/>
                <w:lang w:val="en-US" w:eastAsia="zh-CN"/>
              </w:rPr>
            </w:pPr>
            <w:r>
              <w:rPr>
                <w:rFonts w:hint="eastAsia" w:ascii="微软雅黑" w:hAnsi="微软雅黑" w:eastAsia="微软雅黑" w:cs="宋体"/>
                <w:i/>
                <w:iCs/>
                <w:color w:val="000000"/>
                <w:kern w:val="0"/>
                <w:sz w:val="16"/>
                <w:szCs w:val="16"/>
              </w:rPr>
              <w:t>　</w:t>
            </w:r>
            <w:r>
              <w:rPr>
                <w:rFonts w:hint="eastAsia" w:ascii="微软雅黑" w:hAnsi="微软雅黑" w:eastAsia="微软雅黑" w:cs="宋体"/>
                <w:i/>
                <w:iCs/>
                <w:color w:val="000000"/>
                <w:kern w:val="0"/>
                <w:sz w:val="16"/>
                <w:szCs w:val="16"/>
                <w:lang w:val="en-US" w:eastAsia="zh-CN"/>
              </w:rPr>
              <w:t>95</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10</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338"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04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成本指标</w:t>
            </w:r>
          </w:p>
        </w:tc>
        <w:tc>
          <w:tcPr>
            <w:tcW w:w="12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79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投资总额</w:t>
            </w:r>
          </w:p>
        </w:tc>
        <w:tc>
          <w:tcPr>
            <w:tcW w:w="54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8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2024.46</w:t>
            </w:r>
          </w:p>
        </w:tc>
        <w:tc>
          <w:tcPr>
            <w:tcW w:w="75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991" w:type="dxa"/>
            <w:tcBorders>
              <w:top w:val="nil"/>
              <w:left w:val="nil"/>
              <w:bottom w:val="single" w:color="000000" w:sz="4" w:space="0"/>
              <w:right w:val="single" w:color="000000" w:sz="4" w:space="0"/>
            </w:tcBorders>
            <w:shd w:val="clear" w:color="auto" w:fill="auto"/>
            <w:vAlign w:val="center"/>
          </w:tcPr>
          <w:p>
            <w:pPr>
              <w:widowControl/>
              <w:jc w:val="center"/>
              <w:rPr>
                <w:rFonts w:hint="default" w:ascii="微软雅黑" w:hAnsi="微软雅黑" w:eastAsia="微软雅黑" w:cs="宋体"/>
                <w:i/>
                <w:iCs/>
                <w:color w:val="000000"/>
                <w:kern w:val="0"/>
                <w:sz w:val="16"/>
                <w:szCs w:val="16"/>
                <w:lang w:val="en-US" w:eastAsia="zh-CN"/>
              </w:rPr>
            </w:pPr>
            <w:r>
              <w:rPr>
                <w:rFonts w:hint="eastAsia" w:ascii="微软雅黑" w:hAnsi="微软雅黑" w:eastAsia="微软雅黑" w:cs="宋体"/>
                <w:i/>
                <w:iCs/>
                <w:color w:val="000000"/>
                <w:kern w:val="0"/>
                <w:sz w:val="16"/>
                <w:szCs w:val="16"/>
              </w:rPr>
              <w:t>　</w:t>
            </w:r>
            <w:r>
              <w:rPr>
                <w:rFonts w:hint="eastAsia" w:ascii="微软雅黑" w:hAnsi="微软雅黑" w:eastAsia="微软雅黑" w:cs="宋体"/>
                <w:i/>
                <w:iCs/>
                <w:color w:val="000000"/>
                <w:kern w:val="0"/>
                <w:sz w:val="16"/>
                <w:szCs w:val="16"/>
                <w:lang w:val="en-US" w:eastAsia="zh-CN"/>
              </w:rPr>
              <w:t>2024.47</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20</w:t>
            </w:r>
          </w:p>
        </w:tc>
        <w:tc>
          <w:tcPr>
            <w:tcW w:w="97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285" w:hRule="atLeast"/>
          <w:jc w:val="center"/>
        </w:trPr>
        <w:tc>
          <w:tcPr>
            <w:tcW w:w="779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合计</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576"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974"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r>
      <w:tr>
        <w:tblPrEx>
          <w:tblCellMar>
            <w:top w:w="0" w:type="dxa"/>
            <w:left w:w="108" w:type="dxa"/>
            <w:bottom w:w="0" w:type="dxa"/>
            <w:right w:w="108" w:type="dxa"/>
          </w:tblCellMar>
        </w:tblPrEx>
        <w:trPr>
          <w:trHeight w:val="604" w:hRule="atLeast"/>
          <w:jc w:val="center"/>
        </w:trPr>
        <w:tc>
          <w:tcPr>
            <w:tcW w:w="576"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评价结论</w:t>
            </w:r>
          </w:p>
        </w:tc>
        <w:tc>
          <w:tcPr>
            <w:tcW w:w="9344"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hint="eastAsia" w:ascii="微软雅黑" w:hAnsi="微软雅黑" w:eastAsia="微软雅黑" w:cs="宋体"/>
                <w:i/>
                <w:iCs/>
                <w:color w:val="000000"/>
                <w:kern w:val="0"/>
                <w:sz w:val="16"/>
                <w:szCs w:val="16"/>
                <w:lang w:eastAsia="zh-CN"/>
              </w:rPr>
            </w:pPr>
            <w:r>
              <w:rPr>
                <w:rFonts w:hint="eastAsia" w:ascii="宋体" w:hAnsi="宋体" w:cs="宋体"/>
                <w:color w:val="000000"/>
                <w:kern w:val="0"/>
                <w:sz w:val="18"/>
                <w:szCs w:val="18"/>
                <w:lang w:eastAsia="zh-CN"/>
              </w:rPr>
              <w:t>完成</w:t>
            </w:r>
          </w:p>
        </w:tc>
      </w:tr>
      <w:tr>
        <w:tblPrEx>
          <w:tblCellMar>
            <w:top w:w="0" w:type="dxa"/>
            <w:left w:w="108" w:type="dxa"/>
            <w:bottom w:w="0" w:type="dxa"/>
            <w:right w:w="108" w:type="dxa"/>
          </w:tblCellMar>
        </w:tblPrEx>
        <w:trPr>
          <w:trHeight w:val="574" w:hRule="atLeast"/>
          <w:jc w:val="center"/>
        </w:trPr>
        <w:tc>
          <w:tcPr>
            <w:tcW w:w="576"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存在问题</w:t>
            </w:r>
          </w:p>
        </w:tc>
        <w:tc>
          <w:tcPr>
            <w:tcW w:w="9344"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i/>
                <w:iCs/>
                <w:color w:val="000000"/>
                <w:kern w:val="0"/>
                <w:sz w:val="16"/>
                <w:szCs w:val="16"/>
              </w:rPr>
            </w:pPr>
          </w:p>
        </w:tc>
      </w:tr>
      <w:tr>
        <w:tblPrEx>
          <w:tblCellMar>
            <w:top w:w="0" w:type="dxa"/>
            <w:left w:w="108" w:type="dxa"/>
            <w:bottom w:w="0" w:type="dxa"/>
            <w:right w:w="108" w:type="dxa"/>
          </w:tblCellMar>
        </w:tblPrEx>
        <w:trPr>
          <w:trHeight w:val="634" w:hRule="atLeast"/>
          <w:jc w:val="center"/>
        </w:trPr>
        <w:tc>
          <w:tcPr>
            <w:tcW w:w="576"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改进措施</w:t>
            </w:r>
          </w:p>
        </w:tc>
        <w:tc>
          <w:tcPr>
            <w:tcW w:w="9344"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i/>
                <w:iCs/>
                <w:color w:val="000000"/>
                <w:kern w:val="0"/>
                <w:sz w:val="16"/>
                <w:szCs w:val="16"/>
              </w:rPr>
            </w:pPr>
          </w:p>
        </w:tc>
      </w:tr>
      <w:tr>
        <w:tblPrEx>
          <w:tblCellMar>
            <w:top w:w="0" w:type="dxa"/>
            <w:left w:w="108" w:type="dxa"/>
            <w:bottom w:w="0" w:type="dxa"/>
            <w:right w:w="108" w:type="dxa"/>
          </w:tblCellMar>
        </w:tblPrEx>
        <w:trPr>
          <w:trHeight w:val="285" w:hRule="atLeast"/>
          <w:jc w:val="center"/>
        </w:trPr>
        <w:tc>
          <w:tcPr>
            <w:tcW w:w="520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hint="eastAsia" w:ascii="Courier New" w:hAnsi="Courier New" w:eastAsia="宋体" w:cs="Courier New"/>
                <w:color w:val="000000"/>
                <w:kern w:val="0"/>
                <w:sz w:val="18"/>
                <w:szCs w:val="18"/>
                <w:lang w:eastAsia="zh-CN"/>
              </w:rPr>
            </w:pPr>
            <w:r>
              <w:rPr>
                <w:rFonts w:hint="eastAsia" w:ascii="Courier New" w:hAnsi="Courier New" w:cs="Courier New"/>
                <w:color w:val="000000"/>
                <w:kern w:val="0"/>
                <w:sz w:val="18"/>
                <w:szCs w:val="18"/>
                <w:lang w:eastAsia="zh-CN"/>
              </w:rPr>
              <w:t>项目负责人：黄丽梅</w:t>
            </w:r>
          </w:p>
        </w:tc>
        <w:tc>
          <w:tcPr>
            <w:tcW w:w="4719" w:type="dxa"/>
            <w:gridSpan w:val="6"/>
            <w:tcBorders>
              <w:top w:val="single" w:color="000000" w:sz="4" w:space="0"/>
              <w:left w:val="nil"/>
              <w:bottom w:val="single" w:color="000000" w:sz="4" w:space="0"/>
              <w:right w:val="single" w:color="000000" w:sz="4" w:space="0"/>
            </w:tcBorders>
            <w:shd w:val="clear" w:color="auto" w:fill="auto"/>
            <w:vAlign w:val="center"/>
          </w:tcPr>
          <w:p>
            <w:pPr>
              <w:widowControl/>
              <w:jc w:val="left"/>
              <w:rPr>
                <w:rFonts w:hint="eastAsia" w:ascii="Courier New" w:hAnsi="Courier New" w:eastAsia="宋体" w:cs="Courier New"/>
                <w:color w:val="000000"/>
                <w:kern w:val="0"/>
                <w:sz w:val="18"/>
                <w:szCs w:val="18"/>
                <w:lang w:eastAsia="zh-CN"/>
              </w:rPr>
            </w:pPr>
            <w:r>
              <w:rPr>
                <w:rFonts w:hint="eastAsia" w:ascii="Courier New" w:hAnsi="Courier New" w:cs="Courier New"/>
                <w:color w:val="000000"/>
                <w:kern w:val="0"/>
                <w:sz w:val="18"/>
                <w:szCs w:val="18"/>
                <w:lang w:eastAsia="zh-CN"/>
              </w:rPr>
              <w:t>财务负责人：靳能泉</w:t>
            </w:r>
          </w:p>
        </w:tc>
      </w:tr>
      <w:tr>
        <w:tblPrEx>
          <w:tblCellMar>
            <w:top w:w="0" w:type="dxa"/>
            <w:left w:w="108" w:type="dxa"/>
            <w:bottom w:w="0" w:type="dxa"/>
            <w:right w:w="108" w:type="dxa"/>
          </w:tblCellMar>
        </w:tblPrEx>
        <w:trPr>
          <w:trHeight w:val="285" w:hRule="atLeast"/>
          <w:jc w:val="center"/>
        </w:trPr>
        <w:tc>
          <w:tcPr>
            <w:tcW w:w="576"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1049"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1238"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1793"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545"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846"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756"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991"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576"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576"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974" w:type="dxa"/>
            <w:tcBorders>
              <w:top w:val="nil"/>
              <w:left w:val="nil"/>
              <w:bottom w:val="nil"/>
              <w:right w:val="nil"/>
            </w:tcBorders>
            <w:shd w:val="clear" w:color="auto" w:fill="auto"/>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r>
    </w:tbl>
    <w:p>
      <w:pPr>
        <w:jc w:val="center"/>
      </w:pPr>
    </w:p>
    <w:p>
      <w:pPr>
        <w:spacing w:line="700" w:lineRule="atLeast"/>
        <w:jc w:val="center"/>
        <w:rPr>
          <w:rFonts w:ascii="方正小标宋_GBK" w:hAnsi="黑体" w:eastAsia="方正小标宋_GBK"/>
          <w:b/>
          <w:sz w:val="44"/>
          <w:szCs w:val="44"/>
        </w:rPr>
      </w:pPr>
      <w:bookmarkStart w:id="82" w:name="_Toc15396618"/>
      <w:bookmarkStart w:id="83" w:name="_Toc144135717"/>
      <w:r>
        <w:rPr>
          <w:rFonts w:hint="eastAsia" w:ascii="方正小标宋_GBK" w:hAnsi="黑体" w:eastAsia="方正小标宋_GBK"/>
          <w:sz w:val="44"/>
          <w:szCs w:val="44"/>
        </w:rPr>
        <w:t>第</w:t>
      </w:r>
      <w:r>
        <w:rPr>
          <w:rFonts w:hint="eastAsia" w:ascii="方正小标宋_GBK" w:eastAsia="方正小标宋_GBK"/>
          <w:sz w:val="44"/>
          <w:szCs w:val="44"/>
        </w:rPr>
        <w:t>五部分 附表</w:t>
      </w:r>
      <w:bookmarkEnd w:id="79"/>
      <w:bookmarkEnd w:id="82"/>
      <w:bookmarkEnd w:id="83"/>
      <w:bookmarkStart w:id="84" w:name="_Toc15396619"/>
    </w:p>
    <w:p>
      <w:pPr>
        <w:spacing w:line="600" w:lineRule="exact"/>
        <w:jc w:val="left"/>
        <w:rPr>
          <w:rFonts w:ascii="仿宋_GB2312" w:hAnsi="仿宋" w:eastAsia="仿宋_GB2312"/>
          <w:sz w:val="32"/>
          <w:szCs w:val="32"/>
        </w:rPr>
      </w:pPr>
      <w:bookmarkStart w:id="85" w:name="_Toc144135718"/>
      <w:r>
        <w:rPr>
          <w:rFonts w:hint="eastAsia" w:ascii="仿宋_GB2312" w:hAnsi="仿宋" w:eastAsia="仿宋_GB2312"/>
          <w:sz w:val="32"/>
          <w:szCs w:val="32"/>
        </w:rPr>
        <w:t>一、收</w:t>
      </w:r>
      <w:r>
        <w:rPr>
          <w:rStyle w:val="18"/>
          <w:rFonts w:hint="eastAsia" w:ascii="仿宋_GB2312" w:hAnsi="仿宋" w:eastAsia="仿宋_GB2312"/>
          <w:b w:val="0"/>
          <w:bCs w:val="0"/>
        </w:rPr>
        <w:t>入支出决算总表</w:t>
      </w:r>
      <w:bookmarkEnd w:id="84"/>
      <w:bookmarkEnd w:id="85"/>
    </w:p>
    <w:p>
      <w:pPr>
        <w:spacing w:line="600" w:lineRule="exact"/>
        <w:jc w:val="left"/>
        <w:rPr>
          <w:rFonts w:ascii="仿宋_GB2312" w:hAnsi="仿宋" w:eastAsia="仿宋_GB2312"/>
          <w:sz w:val="32"/>
          <w:szCs w:val="32"/>
        </w:rPr>
      </w:pPr>
      <w:bookmarkStart w:id="86" w:name="_Toc15396620"/>
      <w:bookmarkStart w:id="87" w:name="_Toc144135719"/>
      <w:r>
        <w:rPr>
          <w:rFonts w:hint="eastAsia" w:ascii="仿宋_GB2312" w:hAnsi="仿宋" w:eastAsia="仿宋_GB2312"/>
          <w:sz w:val="32"/>
          <w:szCs w:val="32"/>
        </w:rPr>
        <w:t>二、收</w:t>
      </w:r>
      <w:r>
        <w:rPr>
          <w:rStyle w:val="18"/>
          <w:rFonts w:hint="eastAsia" w:ascii="仿宋_GB2312" w:hAnsi="仿宋" w:eastAsia="仿宋_GB2312"/>
          <w:b w:val="0"/>
          <w:bCs w:val="0"/>
        </w:rPr>
        <w:t>入决算表</w:t>
      </w:r>
      <w:bookmarkEnd w:id="86"/>
      <w:bookmarkEnd w:id="87"/>
    </w:p>
    <w:p>
      <w:pPr>
        <w:spacing w:line="600" w:lineRule="exact"/>
        <w:jc w:val="left"/>
        <w:rPr>
          <w:rFonts w:ascii="仿宋_GB2312" w:hAnsi="仿宋" w:eastAsia="仿宋_GB2312"/>
          <w:sz w:val="32"/>
          <w:szCs w:val="32"/>
        </w:rPr>
      </w:pPr>
      <w:bookmarkStart w:id="88" w:name="_Toc15396621"/>
      <w:bookmarkStart w:id="89" w:name="_Toc144135720"/>
      <w:r>
        <w:rPr>
          <w:rStyle w:val="18"/>
          <w:rFonts w:hint="eastAsia" w:ascii="仿宋_GB2312" w:hAnsi="仿宋" w:eastAsia="仿宋_GB2312"/>
          <w:b w:val="0"/>
          <w:bCs w:val="0"/>
        </w:rPr>
        <w:t>三、</w:t>
      </w:r>
      <w:r>
        <w:rPr>
          <w:rFonts w:hint="eastAsia" w:ascii="仿宋_GB2312" w:hAnsi="仿宋" w:eastAsia="仿宋_GB2312"/>
          <w:sz w:val="32"/>
          <w:szCs w:val="32"/>
        </w:rPr>
        <w:t>支</w:t>
      </w:r>
      <w:r>
        <w:rPr>
          <w:rStyle w:val="18"/>
          <w:rFonts w:hint="eastAsia" w:ascii="仿宋_GB2312" w:hAnsi="仿宋" w:eastAsia="仿宋_GB2312"/>
          <w:b w:val="0"/>
          <w:bCs w:val="0"/>
        </w:rPr>
        <w:t>出决算表</w:t>
      </w:r>
      <w:bookmarkEnd w:id="88"/>
      <w:bookmarkEnd w:id="89"/>
    </w:p>
    <w:p>
      <w:pPr>
        <w:spacing w:line="600" w:lineRule="exact"/>
        <w:jc w:val="left"/>
        <w:rPr>
          <w:rFonts w:ascii="仿宋_GB2312" w:hAnsi="仿宋" w:eastAsia="仿宋_GB2312"/>
          <w:sz w:val="32"/>
          <w:szCs w:val="32"/>
        </w:rPr>
      </w:pPr>
      <w:bookmarkStart w:id="90" w:name="_Toc15396622"/>
      <w:bookmarkStart w:id="91" w:name="_Toc144135721"/>
      <w:r>
        <w:rPr>
          <w:rStyle w:val="18"/>
          <w:rFonts w:hint="eastAsia" w:ascii="仿宋_GB2312" w:hAnsi="仿宋" w:eastAsia="仿宋_GB2312"/>
          <w:b w:val="0"/>
          <w:bCs w:val="0"/>
        </w:rPr>
        <w:t>四、</w:t>
      </w:r>
      <w:r>
        <w:rPr>
          <w:rFonts w:hint="eastAsia" w:ascii="仿宋_GB2312" w:hAnsi="仿宋" w:eastAsia="仿宋_GB2312"/>
          <w:sz w:val="32"/>
          <w:szCs w:val="32"/>
        </w:rPr>
        <w:t>财</w:t>
      </w:r>
      <w:r>
        <w:rPr>
          <w:rStyle w:val="18"/>
          <w:rFonts w:hint="eastAsia" w:ascii="仿宋_GB2312" w:hAnsi="仿宋" w:eastAsia="仿宋_GB2312"/>
          <w:b w:val="0"/>
          <w:bCs w:val="0"/>
        </w:rPr>
        <w:t>政拨款收入支出决算总表</w:t>
      </w:r>
      <w:bookmarkEnd w:id="90"/>
      <w:bookmarkEnd w:id="91"/>
    </w:p>
    <w:p>
      <w:pPr>
        <w:spacing w:line="600" w:lineRule="exact"/>
        <w:jc w:val="left"/>
        <w:rPr>
          <w:rStyle w:val="18"/>
          <w:rFonts w:ascii="仿宋_GB2312" w:hAnsi="仿宋" w:eastAsia="仿宋_GB2312"/>
          <w:b w:val="0"/>
          <w:bCs w:val="0"/>
        </w:rPr>
      </w:pPr>
      <w:bookmarkStart w:id="92" w:name="_Toc15396623"/>
      <w:bookmarkStart w:id="93" w:name="_Toc144135722"/>
      <w:r>
        <w:rPr>
          <w:rStyle w:val="18"/>
          <w:rFonts w:hint="eastAsia" w:ascii="仿宋_GB2312" w:hAnsi="仿宋" w:eastAsia="仿宋_GB2312"/>
          <w:b w:val="0"/>
          <w:bCs w:val="0"/>
        </w:rPr>
        <w:t>五、</w:t>
      </w:r>
      <w:r>
        <w:rPr>
          <w:rFonts w:hint="eastAsia" w:ascii="仿宋_GB2312" w:hAnsi="仿宋" w:eastAsia="仿宋_GB2312"/>
          <w:sz w:val="32"/>
          <w:szCs w:val="32"/>
        </w:rPr>
        <w:t>财</w:t>
      </w:r>
      <w:r>
        <w:rPr>
          <w:rStyle w:val="18"/>
          <w:rFonts w:hint="eastAsia" w:ascii="仿宋_GB2312" w:hAnsi="仿宋" w:eastAsia="仿宋_GB2312"/>
          <w:b w:val="0"/>
          <w:bCs w:val="0"/>
        </w:rPr>
        <w:t>政拨款支出决算明细表</w:t>
      </w:r>
      <w:bookmarkEnd w:id="92"/>
      <w:bookmarkEnd w:id="93"/>
      <w:bookmarkStart w:id="94" w:name="_Toc15396624"/>
    </w:p>
    <w:p>
      <w:pPr>
        <w:spacing w:line="600" w:lineRule="exact"/>
        <w:jc w:val="left"/>
        <w:rPr>
          <w:rFonts w:ascii="仿宋_GB2312" w:hAnsi="仿宋" w:eastAsia="仿宋_GB2312"/>
          <w:sz w:val="32"/>
          <w:szCs w:val="32"/>
        </w:rPr>
      </w:pPr>
      <w:bookmarkStart w:id="95" w:name="_Toc144135723"/>
      <w:r>
        <w:rPr>
          <w:rStyle w:val="18"/>
          <w:rFonts w:hint="eastAsia" w:ascii="仿宋_GB2312" w:hAnsi="仿宋" w:eastAsia="仿宋_GB2312"/>
          <w:b w:val="0"/>
          <w:bCs w:val="0"/>
        </w:rPr>
        <w:t>六、</w:t>
      </w:r>
      <w:r>
        <w:rPr>
          <w:rFonts w:hint="eastAsia" w:ascii="仿宋_GB2312" w:hAnsi="仿宋" w:eastAsia="仿宋_GB2312"/>
          <w:sz w:val="32"/>
          <w:szCs w:val="32"/>
        </w:rPr>
        <w:t>一</w:t>
      </w:r>
      <w:r>
        <w:rPr>
          <w:rStyle w:val="18"/>
          <w:rFonts w:hint="eastAsia" w:ascii="仿宋_GB2312" w:hAnsi="仿宋" w:eastAsia="仿宋_GB2312"/>
          <w:b w:val="0"/>
          <w:bCs w:val="0"/>
        </w:rPr>
        <w:t>般公共预算财政拨款支出决算表</w:t>
      </w:r>
      <w:bookmarkEnd w:id="94"/>
      <w:bookmarkEnd w:id="95"/>
    </w:p>
    <w:p>
      <w:pPr>
        <w:spacing w:line="600" w:lineRule="exact"/>
        <w:jc w:val="left"/>
        <w:rPr>
          <w:rFonts w:ascii="仿宋_GB2312" w:hAnsi="仿宋" w:eastAsia="仿宋_GB2312"/>
          <w:sz w:val="32"/>
          <w:szCs w:val="32"/>
        </w:rPr>
      </w:pPr>
      <w:bookmarkStart w:id="96" w:name="_Toc15396625"/>
      <w:bookmarkStart w:id="97" w:name="_Toc144135724"/>
      <w:r>
        <w:rPr>
          <w:rStyle w:val="18"/>
          <w:rFonts w:hint="eastAsia" w:ascii="仿宋_GB2312" w:hAnsi="仿宋" w:eastAsia="仿宋_GB2312"/>
          <w:b w:val="0"/>
          <w:bCs w:val="0"/>
        </w:rPr>
        <w:t>七、</w:t>
      </w:r>
      <w:r>
        <w:rPr>
          <w:rFonts w:hint="eastAsia" w:ascii="仿宋_GB2312" w:hAnsi="仿宋" w:eastAsia="仿宋_GB2312"/>
          <w:sz w:val="32"/>
          <w:szCs w:val="32"/>
        </w:rPr>
        <w:t>一</w:t>
      </w:r>
      <w:r>
        <w:rPr>
          <w:rStyle w:val="18"/>
          <w:rFonts w:hint="eastAsia" w:ascii="仿宋_GB2312" w:hAnsi="仿宋" w:eastAsia="仿宋_GB2312"/>
          <w:b w:val="0"/>
          <w:bCs w:val="0"/>
        </w:rPr>
        <w:t>般公共预算财政拨款支出决算明细表</w:t>
      </w:r>
      <w:bookmarkEnd w:id="96"/>
      <w:bookmarkEnd w:id="97"/>
    </w:p>
    <w:p>
      <w:pPr>
        <w:spacing w:line="600" w:lineRule="exact"/>
        <w:jc w:val="left"/>
        <w:rPr>
          <w:rFonts w:ascii="仿宋_GB2312" w:hAnsi="仿宋" w:eastAsia="仿宋_GB2312"/>
          <w:sz w:val="32"/>
          <w:szCs w:val="32"/>
        </w:rPr>
      </w:pPr>
      <w:bookmarkStart w:id="98" w:name="_Toc15396626"/>
      <w:bookmarkStart w:id="99" w:name="_Toc144135725"/>
      <w:r>
        <w:rPr>
          <w:rStyle w:val="18"/>
          <w:rFonts w:hint="eastAsia" w:ascii="仿宋_GB2312" w:hAnsi="仿宋" w:eastAsia="仿宋_GB2312"/>
          <w:b w:val="0"/>
          <w:bCs w:val="0"/>
        </w:rPr>
        <w:t>八、</w:t>
      </w:r>
      <w:r>
        <w:rPr>
          <w:rFonts w:hint="eastAsia" w:ascii="仿宋_GB2312" w:hAnsi="仿宋" w:eastAsia="仿宋_GB2312"/>
          <w:sz w:val="32"/>
          <w:szCs w:val="32"/>
        </w:rPr>
        <w:t>一</w:t>
      </w:r>
      <w:r>
        <w:rPr>
          <w:rStyle w:val="18"/>
          <w:rFonts w:hint="eastAsia" w:ascii="仿宋_GB2312" w:hAnsi="仿宋" w:eastAsia="仿宋_GB2312"/>
          <w:b w:val="0"/>
          <w:bCs w:val="0"/>
        </w:rPr>
        <w:t>般公共预算财政拨款基本支出决算表</w:t>
      </w:r>
      <w:bookmarkEnd w:id="98"/>
      <w:bookmarkEnd w:id="99"/>
    </w:p>
    <w:p>
      <w:pPr>
        <w:spacing w:line="600" w:lineRule="exact"/>
        <w:jc w:val="left"/>
        <w:rPr>
          <w:rFonts w:ascii="仿宋_GB2312" w:hAnsi="仿宋" w:eastAsia="仿宋_GB2312"/>
          <w:sz w:val="32"/>
          <w:szCs w:val="32"/>
        </w:rPr>
      </w:pPr>
      <w:bookmarkStart w:id="100" w:name="_Toc15396627"/>
      <w:bookmarkStart w:id="101" w:name="_Toc144135726"/>
      <w:r>
        <w:rPr>
          <w:rStyle w:val="18"/>
          <w:rFonts w:hint="eastAsia" w:ascii="仿宋_GB2312" w:hAnsi="仿宋" w:eastAsia="仿宋_GB2312"/>
          <w:b w:val="0"/>
          <w:bCs w:val="0"/>
        </w:rPr>
        <w:t>九、</w:t>
      </w:r>
      <w:r>
        <w:rPr>
          <w:rFonts w:hint="eastAsia" w:ascii="仿宋_GB2312" w:hAnsi="仿宋" w:eastAsia="仿宋_GB2312"/>
          <w:sz w:val="32"/>
          <w:szCs w:val="32"/>
        </w:rPr>
        <w:t>一</w:t>
      </w:r>
      <w:r>
        <w:rPr>
          <w:rStyle w:val="18"/>
          <w:rFonts w:hint="eastAsia" w:ascii="仿宋_GB2312" w:hAnsi="仿宋" w:eastAsia="仿宋_GB2312"/>
          <w:b w:val="0"/>
          <w:bCs w:val="0"/>
        </w:rPr>
        <w:t>般公共预算财政拨款项目支出决算表</w:t>
      </w:r>
      <w:bookmarkEnd w:id="100"/>
      <w:bookmarkEnd w:id="101"/>
    </w:p>
    <w:p>
      <w:pPr>
        <w:spacing w:line="600" w:lineRule="exact"/>
        <w:jc w:val="left"/>
        <w:rPr>
          <w:rFonts w:ascii="仿宋_GB2312" w:hAnsi="仿宋" w:eastAsia="仿宋_GB2312"/>
          <w:sz w:val="32"/>
          <w:szCs w:val="32"/>
        </w:rPr>
      </w:pPr>
      <w:bookmarkStart w:id="102" w:name="_Toc15396628"/>
      <w:bookmarkStart w:id="103" w:name="_Toc144135727"/>
      <w:r>
        <w:rPr>
          <w:rStyle w:val="18"/>
          <w:rFonts w:hint="eastAsia" w:ascii="仿宋_GB2312" w:hAnsi="仿宋" w:eastAsia="仿宋_GB2312"/>
          <w:b w:val="0"/>
          <w:bCs w:val="0"/>
        </w:rPr>
        <w:t>十、</w:t>
      </w:r>
      <w:bookmarkEnd w:id="102"/>
      <w:r>
        <w:rPr>
          <w:rFonts w:hint="eastAsia" w:ascii="仿宋_GB2312" w:hAnsi="仿宋" w:eastAsia="仿宋_GB2312"/>
          <w:sz w:val="32"/>
          <w:szCs w:val="32"/>
        </w:rPr>
        <w:t>政</w:t>
      </w:r>
      <w:r>
        <w:rPr>
          <w:rStyle w:val="18"/>
          <w:rFonts w:hint="eastAsia" w:ascii="仿宋_GB2312" w:hAnsi="仿宋" w:eastAsia="仿宋_GB2312"/>
          <w:b w:val="0"/>
          <w:bCs w:val="0"/>
        </w:rPr>
        <w:t>府性基金预算财政拨款收入支出决算表</w:t>
      </w:r>
      <w:bookmarkEnd w:id="103"/>
    </w:p>
    <w:p>
      <w:pPr>
        <w:spacing w:line="600" w:lineRule="exact"/>
        <w:jc w:val="left"/>
        <w:rPr>
          <w:rFonts w:ascii="仿宋_GB2312" w:hAnsi="仿宋" w:eastAsia="仿宋_GB2312"/>
          <w:sz w:val="32"/>
          <w:szCs w:val="32"/>
        </w:rPr>
      </w:pPr>
      <w:bookmarkStart w:id="104" w:name="_Toc15396629"/>
      <w:bookmarkStart w:id="105" w:name="_Toc144135728"/>
      <w:r>
        <w:rPr>
          <w:rStyle w:val="18"/>
          <w:rFonts w:hint="eastAsia" w:ascii="仿宋_GB2312" w:hAnsi="仿宋" w:eastAsia="仿宋_GB2312"/>
          <w:b w:val="0"/>
          <w:bCs w:val="0"/>
        </w:rPr>
        <w:t>十一、</w:t>
      </w:r>
      <w:bookmarkEnd w:id="104"/>
      <w:r>
        <w:rPr>
          <w:rFonts w:hint="eastAsia" w:ascii="仿宋_GB2312" w:hAnsi="仿宋" w:eastAsia="仿宋_GB2312"/>
          <w:sz w:val="32"/>
          <w:szCs w:val="32"/>
        </w:rPr>
        <w:t>国</w:t>
      </w:r>
      <w:r>
        <w:rPr>
          <w:rStyle w:val="18"/>
          <w:rFonts w:hint="eastAsia" w:ascii="仿宋_GB2312" w:hAnsi="仿宋" w:eastAsia="仿宋_GB2312"/>
          <w:b w:val="0"/>
          <w:bCs w:val="0"/>
        </w:rPr>
        <w:t>有资本经营预算财政拨款收入支出决算表</w:t>
      </w:r>
      <w:bookmarkEnd w:id="105"/>
    </w:p>
    <w:p>
      <w:pPr>
        <w:spacing w:line="600" w:lineRule="exact"/>
        <w:jc w:val="left"/>
        <w:rPr>
          <w:rFonts w:ascii="仿宋_GB2312" w:hAnsi="仿宋" w:eastAsia="仿宋_GB2312"/>
          <w:sz w:val="32"/>
          <w:szCs w:val="32"/>
        </w:rPr>
      </w:pPr>
      <w:bookmarkStart w:id="106" w:name="_Toc15396630"/>
      <w:bookmarkStart w:id="107" w:name="_Toc144135729"/>
      <w:r>
        <w:rPr>
          <w:rStyle w:val="18"/>
          <w:rFonts w:hint="eastAsia" w:ascii="仿宋_GB2312" w:hAnsi="仿宋" w:eastAsia="仿宋_GB2312"/>
          <w:b w:val="0"/>
          <w:bCs w:val="0"/>
        </w:rPr>
        <w:t>十二、</w:t>
      </w:r>
      <w:bookmarkEnd w:id="106"/>
      <w:r>
        <w:rPr>
          <w:rStyle w:val="18"/>
          <w:rFonts w:hint="eastAsia" w:ascii="仿宋_GB2312" w:hAnsi="仿宋" w:eastAsia="仿宋_GB2312"/>
          <w:b w:val="0"/>
          <w:bCs w:val="0"/>
        </w:rPr>
        <w:t>国有资本经营预算财政拨款支出决算表</w:t>
      </w:r>
      <w:bookmarkEnd w:id="107"/>
    </w:p>
    <w:p>
      <w:pPr>
        <w:spacing w:line="600" w:lineRule="exact"/>
        <w:jc w:val="left"/>
        <w:rPr>
          <w:rFonts w:ascii="仿宋_GB2312" w:eastAsia="仿宋_GB2312"/>
          <w:sz w:val="32"/>
          <w:szCs w:val="32"/>
        </w:rPr>
      </w:pPr>
      <w:bookmarkStart w:id="108" w:name="_Toc15396631"/>
      <w:bookmarkStart w:id="109" w:name="_Toc144135730"/>
      <w:r>
        <w:rPr>
          <w:rStyle w:val="18"/>
          <w:rFonts w:hint="eastAsia" w:ascii="仿宋_GB2312" w:hAnsi="仿宋" w:eastAsia="仿宋_GB2312"/>
          <w:b w:val="0"/>
          <w:bCs w:val="0"/>
        </w:rPr>
        <w:t>十三、</w:t>
      </w:r>
      <w:bookmarkEnd w:id="108"/>
      <w:r>
        <w:rPr>
          <w:rStyle w:val="18"/>
          <w:rFonts w:hint="eastAsia" w:ascii="仿宋_GB2312" w:hAnsi="仿宋" w:eastAsia="仿宋_GB2312"/>
          <w:b w:val="0"/>
          <w:bCs w:val="0"/>
        </w:rPr>
        <w:t>财政拨款“三公”经费支出决算表</w:t>
      </w:r>
      <w:bookmarkEnd w:id="109"/>
    </w:p>
    <w:sectPr>
      <w:footerReference r:id="rId7" w:type="first"/>
      <w:footerReference r:id="rId6" w:type="default"/>
      <w:pgSz w:w="11906" w:h="16838"/>
      <w:pgMar w:top="1440" w:right="1800" w:bottom="1440" w:left="1800" w:header="851" w:footer="907"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Arial Unicode MS"/>
    <w:panose1 w:val="00000000000000000000"/>
    <w:charset w:val="86"/>
    <w:family w:val="script"/>
    <w:pitch w:val="default"/>
    <w:sig w:usb0="00000000" w:usb1="00000000" w:usb2="0000001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before="72"/>
      <w:jc w:val="right"/>
      <w:rPr>
        <w:rFonts w:ascii="仿宋_GB2312" w:hAnsi="仿宋_GB2312" w:eastAsia="仿宋_GB2312" w:cs="仿宋_GB2312"/>
        <w:sz w:val="28"/>
        <w:szCs w:val="28"/>
      </w:rP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before="72"/>
      <w:jc w:val="right"/>
      <w:rPr>
        <w:rFonts w:ascii="仿宋_GB2312" w:hAnsi="仿宋_GB2312" w:eastAsia="仿宋_GB2312" w:cs="仿宋_GB2312"/>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before="72"/>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ascii="仿宋_GB2312" w:hAnsi="仿宋_GB2312" w:eastAsia="仿宋_GB2312" w:cs="仿宋_GB2312"/>
        <w:sz w:val="28"/>
        <w:szCs w:val="28"/>
      </w:rPr>
      <w:t>16</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before="72"/>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NkNDgyMTYxMzU2ZmRmMGMyZjIzYTQ3ZmNjZDllMmUifQ=="/>
  </w:docVars>
  <w:rsids>
    <w:rsidRoot w:val="00F1361C"/>
    <w:rsid w:val="000222C6"/>
    <w:rsid w:val="0002549F"/>
    <w:rsid w:val="000468DB"/>
    <w:rsid w:val="0006487A"/>
    <w:rsid w:val="00065F8F"/>
    <w:rsid w:val="00066A0B"/>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1F13"/>
    <w:rsid w:val="000D5782"/>
    <w:rsid w:val="000E6613"/>
    <w:rsid w:val="000E7119"/>
    <w:rsid w:val="00114E9B"/>
    <w:rsid w:val="00142216"/>
    <w:rsid w:val="00144D6A"/>
    <w:rsid w:val="00145CEB"/>
    <w:rsid w:val="0014729F"/>
    <w:rsid w:val="00157BAB"/>
    <w:rsid w:val="001654D1"/>
    <w:rsid w:val="00174518"/>
    <w:rsid w:val="0018106D"/>
    <w:rsid w:val="001877A7"/>
    <w:rsid w:val="00191536"/>
    <w:rsid w:val="001938A7"/>
    <w:rsid w:val="00196687"/>
    <w:rsid w:val="001C0962"/>
    <w:rsid w:val="001D7531"/>
    <w:rsid w:val="001E737D"/>
    <w:rsid w:val="001F0592"/>
    <w:rsid w:val="001F7506"/>
    <w:rsid w:val="002006CD"/>
    <w:rsid w:val="00202B36"/>
    <w:rsid w:val="00204B7A"/>
    <w:rsid w:val="00204CDE"/>
    <w:rsid w:val="0021101A"/>
    <w:rsid w:val="00220536"/>
    <w:rsid w:val="0022454A"/>
    <w:rsid w:val="00230456"/>
    <w:rsid w:val="00235629"/>
    <w:rsid w:val="002455CF"/>
    <w:rsid w:val="00260C38"/>
    <w:rsid w:val="002616C0"/>
    <w:rsid w:val="00265372"/>
    <w:rsid w:val="002662AA"/>
    <w:rsid w:val="00280496"/>
    <w:rsid w:val="00294DC9"/>
    <w:rsid w:val="00295495"/>
    <w:rsid w:val="002A31DE"/>
    <w:rsid w:val="002B2613"/>
    <w:rsid w:val="002D6D05"/>
    <w:rsid w:val="002F1247"/>
    <w:rsid w:val="002F1818"/>
    <w:rsid w:val="002F567B"/>
    <w:rsid w:val="003216A9"/>
    <w:rsid w:val="00335A74"/>
    <w:rsid w:val="0036561B"/>
    <w:rsid w:val="0037013F"/>
    <w:rsid w:val="00373CF6"/>
    <w:rsid w:val="00380C92"/>
    <w:rsid w:val="003A484F"/>
    <w:rsid w:val="003A4883"/>
    <w:rsid w:val="003B0BE0"/>
    <w:rsid w:val="003B0C1B"/>
    <w:rsid w:val="003B688C"/>
    <w:rsid w:val="003C0291"/>
    <w:rsid w:val="003C39AE"/>
    <w:rsid w:val="003C7B60"/>
    <w:rsid w:val="003D0C0F"/>
    <w:rsid w:val="003D1FB2"/>
    <w:rsid w:val="003D66DA"/>
    <w:rsid w:val="003E1310"/>
    <w:rsid w:val="003E6F55"/>
    <w:rsid w:val="003F0B45"/>
    <w:rsid w:val="00406254"/>
    <w:rsid w:val="00407782"/>
    <w:rsid w:val="0041278F"/>
    <w:rsid w:val="00412B27"/>
    <w:rsid w:val="004223DE"/>
    <w:rsid w:val="00434489"/>
    <w:rsid w:val="00437085"/>
    <w:rsid w:val="00443880"/>
    <w:rsid w:val="004464F4"/>
    <w:rsid w:val="00471401"/>
    <w:rsid w:val="00473F31"/>
    <w:rsid w:val="0048263A"/>
    <w:rsid w:val="00482E92"/>
    <w:rsid w:val="00487E5D"/>
    <w:rsid w:val="004A711F"/>
    <w:rsid w:val="004B199D"/>
    <w:rsid w:val="004B4690"/>
    <w:rsid w:val="004E0A2D"/>
    <w:rsid w:val="004E206B"/>
    <w:rsid w:val="004E6DF7"/>
    <w:rsid w:val="004F0FBD"/>
    <w:rsid w:val="00503EAA"/>
    <w:rsid w:val="00505A47"/>
    <w:rsid w:val="00512FDA"/>
    <w:rsid w:val="00513F34"/>
    <w:rsid w:val="00520DA0"/>
    <w:rsid w:val="00551D4E"/>
    <w:rsid w:val="005664BB"/>
    <w:rsid w:val="00566FFA"/>
    <w:rsid w:val="0057481D"/>
    <w:rsid w:val="00583687"/>
    <w:rsid w:val="0058486E"/>
    <w:rsid w:val="00585B33"/>
    <w:rsid w:val="0059014D"/>
    <w:rsid w:val="00592FC9"/>
    <w:rsid w:val="005B5C64"/>
    <w:rsid w:val="005C5337"/>
    <w:rsid w:val="005C6BD0"/>
    <w:rsid w:val="005D1C8B"/>
    <w:rsid w:val="005D468D"/>
    <w:rsid w:val="005D5CED"/>
    <w:rsid w:val="005D666F"/>
    <w:rsid w:val="005E0C77"/>
    <w:rsid w:val="005F1A4C"/>
    <w:rsid w:val="00605688"/>
    <w:rsid w:val="006070AF"/>
    <w:rsid w:val="00607E6C"/>
    <w:rsid w:val="006101B1"/>
    <w:rsid w:val="00614E44"/>
    <w:rsid w:val="0062270A"/>
    <w:rsid w:val="00622830"/>
    <w:rsid w:val="00623DA0"/>
    <w:rsid w:val="006246FB"/>
    <w:rsid w:val="00630AEF"/>
    <w:rsid w:val="006325F8"/>
    <w:rsid w:val="00633463"/>
    <w:rsid w:val="00634C9A"/>
    <w:rsid w:val="006440E4"/>
    <w:rsid w:val="0066343B"/>
    <w:rsid w:val="00664777"/>
    <w:rsid w:val="006649AE"/>
    <w:rsid w:val="006748A4"/>
    <w:rsid w:val="00681A31"/>
    <w:rsid w:val="00683E73"/>
    <w:rsid w:val="0068421A"/>
    <w:rsid w:val="006A3141"/>
    <w:rsid w:val="006A5E34"/>
    <w:rsid w:val="006B2422"/>
    <w:rsid w:val="006B2B9A"/>
    <w:rsid w:val="006B4FB6"/>
    <w:rsid w:val="006C1937"/>
    <w:rsid w:val="006F020C"/>
    <w:rsid w:val="007127B7"/>
    <w:rsid w:val="007153E6"/>
    <w:rsid w:val="0071798E"/>
    <w:rsid w:val="007416B6"/>
    <w:rsid w:val="00746F48"/>
    <w:rsid w:val="0075404D"/>
    <w:rsid w:val="0076182A"/>
    <w:rsid w:val="00767B7E"/>
    <w:rsid w:val="007770C3"/>
    <w:rsid w:val="00784D24"/>
    <w:rsid w:val="00785FBA"/>
    <w:rsid w:val="00786E4A"/>
    <w:rsid w:val="007875EB"/>
    <w:rsid w:val="0079426B"/>
    <w:rsid w:val="007A2480"/>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66715"/>
    <w:rsid w:val="00866A6B"/>
    <w:rsid w:val="00871F71"/>
    <w:rsid w:val="00872FD8"/>
    <w:rsid w:val="00885AF4"/>
    <w:rsid w:val="008939CD"/>
    <w:rsid w:val="008949ED"/>
    <w:rsid w:val="008A077E"/>
    <w:rsid w:val="008A3700"/>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75B5A"/>
    <w:rsid w:val="0098660A"/>
    <w:rsid w:val="009931C3"/>
    <w:rsid w:val="009B2C43"/>
    <w:rsid w:val="009B4EAE"/>
    <w:rsid w:val="009B7573"/>
    <w:rsid w:val="009C22F4"/>
    <w:rsid w:val="009C2A4B"/>
    <w:rsid w:val="009C2E98"/>
    <w:rsid w:val="009D3447"/>
    <w:rsid w:val="009D4474"/>
    <w:rsid w:val="009D4711"/>
    <w:rsid w:val="009E302B"/>
    <w:rsid w:val="009F1185"/>
    <w:rsid w:val="009F18CD"/>
    <w:rsid w:val="009F2A13"/>
    <w:rsid w:val="009F7527"/>
    <w:rsid w:val="00A04EB0"/>
    <w:rsid w:val="00A13CC1"/>
    <w:rsid w:val="00A16847"/>
    <w:rsid w:val="00A230C0"/>
    <w:rsid w:val="00A237D8"/>
    <w:rsid w:val="00A268C4"/>
    <w:rsid w:val="00A307CD"/>
    <w:rsid w:val="00A331C8"/>
    <w:rsid w:val="00A40A00"/>
    <w:rsid w:val="00A4142F"/>
    <w:rsid w:val="00A422EB"/>
    <w:rsid w:val="00A45BB7"/>
    <w:rsid w:val="00A56DF2"/>
    <w:rsid w:val="00A56E6E"/>
    <w:rsid w:val="00A67AB5"/>
    <w:rsid w:val="00A733B2"/>
    <w:rsid w:val="00A741C2"/>
    <w:rsid w:val="00A7787C"/>
    <w:rsid w:val="00A91760"/>
    <w:rsid w:val="00A93B00"/>
    <w:rsid w:val="00A93C21"/>
    <w:rsid w:val="00A956E7"/>
    <w:rsid w:val="00AB64C9"/>
    <w:rsid w:val="00AC3C6A"/>
    <w:rsid w:val="00AD2C39"/>
    <w:rsid w:val="00AD5620"/>
    <w:rsid w:val="00AD656B"/>
    <w:rsid w:val="00AD7C1B"/>
    <w:rsid w:val="00AE16BA"/>
    <w:rsid w:val="00AE1EBE"/>
    <w:rsid w:val="00B03C9D"/>
    <w:rsid w:val="00B060AE"/>
    <w:rsid w:val="00B10517"/>
    <w:rsid w:val="00B13567"/>
    <w:rsid w:val="00B14E76"/>
    <w:rsid w:val="00B161B8"/>
    <w:rsid w:val="00B202E2"/>
    <w:rsid w:val="00B2048C"/>
    <w:rsid w:val="00B310B9"/>
    <w:rsid w:val="00B35F3F"/>
    <w:rsid w:val="00B36CBB"/>
    <w:rsid w:val="00B425E0"/>
    <w:rsid w:val="00B440AA"/>
    <w:rsid w:val="00B44B70"/>
    <w:rsid w:val="00B53C56"/>
    <w:rsid w:val="00B57DAF"/>
    <w:rsid w:val="00B77CE8"/>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2B6"/>
    <w:rsid w:val="00C65438"/>
    <w:rsid w:val="00C87FD8"/>
    <w:rsid w:val="00C91381"/>
    <w:rsid w:val="00C91CBB"/>
    <w:rsid w:val="00CB158A"/>
    <w:rsid w:val="00CB4E70"/>
    <w:rsid w:val="00CC022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2E7E"/>
    <w:rsid w:val="00D51276"/>
    <w:rsid w:val="00D57AE2"/>
    <w:rsid w:val="00D7035F"/>
    <w:rsid w:val="00DA634F"/>
    <w:rsid w:val="00DA65AC"/>
    <w:rsid w:val="00DB1913"/>
    <w:rsid w:val="00DC410D"/>
    <w:rsid w:val="00DC5A81"/>
    <w:rsid w:val="00DC68CA"/>
    <w:rsid w:val="00DC7CBA"/>
    <w:rsid w:val="00DD266D"/>
    <w:rsid w:val="00DD73B7"/>
    <w:rsid w:val="00DF28BC"/>
    <w:rsid w:val="00DF34B9"/>
    <w:rsid w:val="00E01053"/>
    <w:rsid w:val="00E045A5"/>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325"/>
    <w:rsid w:val="00F1361C"/>
    <w:rsid w:val="00F156F0"/>
    <w:rsid w:val="00F160C7"/>
    <w:rsid w:val="00F164BD"/>
    <w:rsid w:val="00F224B1"/>
    <w:rsid w:val="00F2408F"/>
    <w:rsid w:val="00F240E9"/>
    <w:rsid w:val="00F36D8F"/>
    <w:rsid w:val="00F417B1"/>
    <w:rsid w:val="00F45853"/>
    <w:rsid w:val="00F602DF"/>
    <w:rsid w:val="00F754A1"/>
    <w:rsid w:val="00F81FD9"/>
    <w:rsid w:val="00F841AA"/>
    <w:rsid w:val="00F84A94"/>
    <w:rsid w:val="00F87E96"/>
    <w:rsid w:val="00F97A67"/>
    <w:rsid w:val="00FA23E8"/>
    <w:rsid w:val="00FD3CC1"/>
    <w:rsid w:val="00FF1E02"/>
    <w:rsid w:val="00FF30B4"/>
    <w:rsid w:val="06026D1E"/>
    <w:rsid w:val="0A2032A3"/>
    <w:rsid w:val="0B8A37D8"/>
    <w:rsid w:val="10C055FF"/>
    <w:rsid w:val="118107EC"/>
    <w:rsid w:val="11DD6519"/>
    <w:rsid w:val="130C4392"/>
    <w:rsid w:val="16BB723D"/>
    <w:rsid w:val="18015F3F"/>
    <w:rsid w:val="1A6350CE"/>
    <w:rsid w:val="1BE8440E"/>
    <w:rsid w:val="1D155CEE"/>
    <w:rsid w:val="1F3F33F9"/>
    <w:rsid w:val="20F57F95"/>
    <w:rsid w:val="23560E86"/>
    <w:rsid w:val="240371BF"/>
    <w:rsid w:val="25711CC6"/>
    <w:rsid w:val="25C741E6"/>
    <w:rsid w:val="27842671"/>
    <w:rsid w:val="29FD04D3"/>
    <w:rsid w:val="2ABE7A3E"/>
    <w:rsid w:val="2CA234A8"/>
    <w:rsid w:val="2EFA178C"/>
    <w:rsid w:val="30B46D73"/>
    <w:rsid w:val="318A3E12"/>
    <w:rsid w:val="319F7F4E"/>
    <w:rsid w:val="34B6017A"/>
    <w:rsid w:val="383D272C"/>
    <w:rsid w:val="38BD3D2F"/>
    <w:rsid w:val="39AE70AB"/>
    <w:rsid w:val="3C0C0783"/>
    <w:rsid w:val="3D791D75"/>
    <w:rsid w:val="3F9F3A96"/>
    <w:rsid w:val="48BF60AB"/>
    <w:rsid w:val="493C27E9"/>
    <w:rsid w:val="496F39ED"/>
    <w:rsid w:val="499E2966"/>
    <w:rsid w:val="49FF41D3"/>
    <w:rsid w:val="4BE068DB"/>
    <w:rsid w:val="4BF6002B"/>
    <w:rsid w:val="4ECE2238"/>
    <w:rsid w:val="51DB4B86"/>
    <w:rsid w:val="55333C3E"/>
    <w:rsid w:val="5B3B68B4"/>
    <w:rsid w:val="5FB40A8E"/>
    <w:rsid w:val="64CA39A1"/>
    <w:rsid w:val="69630ADE"/>
    <w:rsid w:val="6C4A05C8"/>
    <w:rsid w:val="6D3B1A89"/>
    <w:rsid w:val="6DDF0F38"/>
    <w:rsid w:val="71BF4EC2"/>
    <w:rsid w:val="71CA66D1"/>
    <w:rsid w:val="72734D90"/>
    <w:rsid w:val="73ED5DA0"/>
    <w:rsid w:val="7412278C"/>
    <w:rsid w:val="779C5047"/>
    <w:rsid w:val="79E7B28D"/>
    <w:rsid w:val="7F9F20EE"/>
    <w:rsid w:val="9E3A10E2"/>
    <w:rsid w:val="F2E1F9D4"/>
    <w:rsid w:val="F788081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7"/>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1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19"/>
    <w:unhideWhenUsed/>
    <w:qFormat/>
    <w:uiPriority w:val="9"/>
    <w:pPr>
      <w:keepNext/>
      <w:keepLines/>
      <w:spacing w:before="260" w:after="260" w:line="416" w:lineRule="auto"/>
      <w:outlineLvl w:val="2"/>
    </w:pPr>
    <w:rPr>
      <w:b/>
      <w:bCs/>
      <w:sz w:val="32"/>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qFormat/>
    <w:uiPriority w:val="99"/>
    <w:pPr>
      <w:spacing w:beforeLines="30"/>
    </w:pPr>
    <w:rPr>
      <w:rFonts w:ascii="仿宋_GB2312" w:eastAsia="仿宋_GB2312"/>
      <w:kern w:val="0"/>
      <w:sz w:val="30"/>
    </w:rPr>
  </w:style>
  <w:style w:type="paragraph" w:styleId="6">
    <w:name w:val="toc 3"/>
    <w:basedOn w:val="1"/>
    <w:next w:val="1"/>
    <w:unhideWhenUsed/>
    <w:qFormat/>
    <w:uiPriority w:val="39"/>
    <w:pPr>
      <w:tabs>
        <w:tab w:val="right" w:leader="dot" w:pos="8296"/>
      </w:tabs>
      <w:ind w:left="840" w:leftChars="400"/>
    </w:pPr>
  </w:style>
  <w:style w:type="paragraph" w:styleId="7">
    <w:name w:val="Balloon Text"/>
    <w:basedOn w:val="1"/>
    <w:link w:val="20"/>
    <w:semiHidden/>
    <w:unhideWhenUsed/>
    <w:qFormat/>
    <w:uiPriority w:val="99"/>
    <w:rPr>
      <w:sz w:val="18"/>
      <w:szCs w:val="18"/>
    </w:rPr>
  </w:style>
  <w:style w:type="paragraph" w:styleId="8">
    <w:name w:val="footer"/>
    <w:basedOn w:val="1"/>
    <w:link w:val="21"/>
    <w:qFormat/>
    <w:uiPriority w:val="0"/>
    <w:pPr>
      <w:tabs>
        <w:tab w:val="center" w:pos="4153"/>
        <w:tab w:val="right" w:pos="8306"/>
      </w:tabs>
      <w:snapToGrid w:val="0"/>
      <w:jc w:val="left"/>
    </w:pPr>
    <w:rPr>
      <w:rFonts w:ascii="Calibri" w:hAnsi="Calibri"/>
      <w:kern w:val="0"/>
      <w:sz w:val="18"/>
      <w:szCs w:val="18"/>
    </w:rPr>
  </w:style>
  <w:style w:type="paragraph" w:styleId="9">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0">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1">
    <w:name w:val="toc 2"/>
    <w:basedOn w:val="1"/>
    <w:next w:val="1"/>
    <w:unhideWhenUsed/>
    <w:qFormat/>
    <w:uiPriority w:val="39"/>
    <w:pPr>
      <w:tabs>
        <w:tab w:val="right" w:leader="dot" w:pos="8296"/>
      </w:tabs>
      <w:ind w:left="420" w:leftChars="200"/>
    </w:pPr>
  </w:style>
  <w:style w:type="character" w:styleId="14">
    <w:name w:val="Strong"/>
    <w:basedOn w:val="13"/>
    <w:qFormat/>
    <w:uiPriority w:val="99"/>
    <w:rPr>
      <w:b/>
    </w:rPr>
  </w:style>
  <w:style w:type="character" w:styleId="15">
    <w:name w:val="Hyperlink"/>
    <w:basedOn w:val="13"/>
    <w:unhideWhenUsed/>
    <w:qFormat/>
    <w:uiPriority w:val="99"/>
    <w:rPr>
      <w:color w:val="0000FF" w:themeColor="hyperlink"/>
      <w:u w:val="single"/>
      <w14:textFill>
        <w14:solidFill>
          <w14:schemeClr w14:val="hlink"/>
        </w14:solidFill>
      </w14:textFill>
    </w:rPr>
  </w:style>
  <w:style w:type="character" w:customStyle="1" w:styleId="16">
    <w:name w:val="正文文本 Char"/>
    <w:link w:val="2"/>
    <w:qFormat/>
    <w:locked/>
    <w:uiPriority w:val="99"/>
    <w:rPr>
      <w:rFonts w:ascii="仿宋_GB2312" w:hAnsi="Times New Roman" w:eastAsia="仿宋_GB2312"/>
      <w:sz w:val="24"/>
    </w:rPr>
  </w:style>
  <w:style w:type="character" w:customStyle="1" w:styleId="17">
    <w:name w:val="标题 1 Char"/>
    <w:basedOn w:val="13"/>
    <w:link w:val="3"/>
    <w:qFormat/>
    <w:uiPriority w:val="9"/>
    <w:rPr>
      <w:rFonts w:ascii="Times New Roman" w:hAnsi="Times New Roman"/>
      <w:b/>
      <w:bCs/>
      <w:kern w:val="44"/>
      <w:sz w:val="44"/>
      <w:szCs w:val="44"/>
    </w:rPr>
  </w:style>
  <w:style w:type="character" w:customStyle="1" w:styleId="18">
    <w:name w:val="标题 2 Char"/>
    <w:basedOn w:val="13"/>
    <w:link w:val="4"/>
    <w:qFormat/>
    <w:uiPriority w:val="9"/>
    <w:rPr>
      <w:rFonts w:asciiTheme="majorHAnsi" w:hAnsiTheme="majorHAnsi" w:eastAsiaTheme="majorEastAsia" w:cstheme="majorBidi"/>
      <w:b/>
      <w:bCs/>
      <w:kern w:val="2"/>
      <w:sz w:val="32"/>
      <w:szCs w:val="32"/>
    </w:rPr>
  </w:style>
  <w:style w:type="character" w:customStyle="1" w:styleId="19">
    <w:name w:val="标题 3 Char"/>
    <w:basedOn w:val="13"/>
    <w:link w:val="5"/>
    <w:qFormat/>
    <w:uiPriority w:val="9"/>
    <w:rPr>
      <w:rFonts w:ascii="Times New Roman" w:hAnsi="Times New Roman"/>
      <w:b/>
      <w:bCs/>
      <w:kern w:val="2"/>
      <w:sz w:val="32"/>
      <w:szCs w:val="32"/>
    </w:rPr>
  </w:style>
  <w:style w:type="character" w:customStyle="1" w:styleId="20">
    <w:name w:val="批注框文本 Char"/>
    <w:basedOn w:val="13"/>
    <w:link w:val="7"/>
    <w:semiHidden/>
    <w:qFormat/>
    <w:uiPriority w:val="99"/>
    <w:rPr>
      <w:rFonts w:ascii="Times New Roman" w:hAnsi="Times New Roman"/>
      <w:kern w:val="2"/>
      <w:sz w:val="18"/>
      <w:szCs w:val="18"/>
    </w:rPr>
  </w:style>
  <w:style w:type="character" w:customStyle="1" w:styleId="21">
    <w:name w:val="页脚 Char"/>
    <w:link w:val="8"/>
    <w:qFormat/>
    <w:locked/>
    <w:uiPriority w:val="0"/>
    <w:rPr>
      <w:sz w:val="18"/>
    </w:rPr>
  </w:style>
  <w:style w:type="character" w:customStyle="1" w:styleId="22">
    <w:name w:val="页眉 Char"/>
    <w:link w:val="9"/>
    <w:semiHidden/>
    <w:qFormat/>
    <w:locked/>
    <w:uiPriority w:val="99"/>
    <w:rPr>
      <w:sz w:val="18"/>
    </w:rPr>
  </w:style>
  <w:style w:type="character" w:customStyle="1" w:styleId="23">
    <w:name w:val="Header Char"/>
    <w:basedOn w:val="13"/>
    <w:semiHidden/>
    <w:qFormat/>
    <w:uiPriority w:val="99"/>
    <w:rPr>
      <w:rFonts w:ascii="Times New Roman" w:hAnsi="Times New Roman"/>
      <w:sz w:val="18"/>
      <w:szCs w:val="18"/>
    </w:rPr>
  </w:style>
  <w:style w:type="character" w:customStyle="1" w:styleId="24">
    <w:name w:val="Footer Char"/>
    <w:basedOn w:val="13"/>
    <w:semiHidden/>
    <w:qFormat/>
    <w:uiPriority w:val="99"/>
    <w:rPr>
      <w:rFonts w:ascii="Times New Roman" w:hAnsi="Times New Roman"/>
      <w:sz w:val="18"/>
      <w:szCs w:val="18"/>
    </w:rPr>
  </w:style>
  <w:style w:type="character" w:customStyle="1" w:styleId="25">
    <w:name w:val="Body Text Char"/>
    <w:basedOn w:val="13"/>
    <w:semiHidden/>
    <w:qFormat/>
    <w:uiPriority w:val="99"/>
    <w:rPr>
      <w:rFonts w:ascii="Times New Roman" w:hAnsi="Times New Roman"/>
      <w:szCs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paragraph" w:customStyle="1" w:styleId="28">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29">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0">
    <w:name w:val="TOC Heading"/>
    <w:basedOn w:val="3"/>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numbering" Target="numbering.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2021年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收入</c:v>
                </c:pt>
                <c:pt idx="1">
                  <c:v>支出</c:v>
                </c:pt>
              </c:strCache>
            </c:strRef>
          </c:cat>
          <c:val>
            <c:numRef>
              <c:f>Sheet1!$B$2:$B$3</c:f>
              <c:numCache>
                <c:formatCode>General</c:formatCode>
                <c:ptCount val="2"/>
                <c:pt idx="0">
                  <c:v>40569.46</c:v>
                </c:pt>
                <c:pt idx="1">
                  <c:v>38097.95</c:v>
                </c:pt>
              </c:numCache>
            </c:numRef>
          </c:val>
        </c:ser>
        <c:ser>
          <c:idx val="1"/>
          <c:order val="1"/>
          <c:tx>
            <c:strRef>
              <c:f>Sheet1!$C$1</c:f>
              <c:strCache>
                <c:ptCount val="1"/>
                <c:pt idx="0">
                  <c:v>2022年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收入</c:v>
                </c:pt>
                <c:pt idx="1">
                  <c:v>支出</c:v>
                </c:pt>
              </c:strCache>
            </c:strRef>
          </c:cat>
          <c:val>
            <c:numRef>
              <c:f>Sheet1!$C$2:$C$3</c:f>
              <c:numCache>
                <c:formatCode>General</c:formatCode>
                <c:ptCount val="2"/>
                <c:pt idx="0">
                  <c:v>47209.16</c:v>
                </c:pt>
                <c:pt idx="1">
                  <c:v>46547.81</c:v>
                </c:pt>
              </c:numCache>
            </c:numRef>
          </c:val>
        </c:ser>
        <c:dLbls>
          <c:showLegendKey val="0"/>
          <c:showVal val="0"/>
          <c:showCatName val="0"/>
          <c:showSerName val="0"/>
          <c:showPercent val="0"/>
          <c:showBubbleSize val="0"/>
        </c:dLbls>
        <c:gapWidth val="150"/>
        <c:axId val="542136320"/>
        <c:axId val="177888000"/>
      </c:barChart>
      <c:catAx>
        <c:axId val="542136320"/>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77888000"/>
        <c:crosses val="autoZero"/>
        <c:auto val="1"/>
        <c:lblAlgn val="ctr"/>
        <c:lblOffset val="100"/>
        <c:noMultiLvlLbl val="0"/>
      </c:catAx>
      <c:valAx>
        <c:axId val="17788800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542136320"/>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44794815349464"/>
          <c:y val="0.0619195046439628"/>
        </c:manualLayout>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2022年收入决算</c:v>
                </c:pt>
              </c:strCache>
            </c:strRef>
          </c:tx>
          <c:explosion val="0"/>
          <c:dPt>
            <c:idx val="0"/>
            <c:bubble3D val="0"/>
          </c:dPt>
          <c:dPt>
            <c:idx val="1"/>
            <c:bubble3D val="0"/>
          </c:dPt>
          <c:dPt>
            <c:idx val="2"/>
            <c:bubble3D val="0"/>
          </c:dPt>
          <c:dPt>
            <c:idx val="3"/>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Sheet1!$A$2:$A$5</c:f>
              <c:strCache>
                <c:ptCount val="4"/>
                <c:pt idx="0">
                  <c:v>一般公共预算财政拨款收入</c:v>
                </c:pt>
                <c:pt idx="1">
                  <c:v>事业收入</c:v>
                </c:pt>
                <c:pt idx="2">
                  <c:v>其他收入</c:v>
                </c:pt>
                <c:pt idx="3">
                  <c:v>年初结转和结余</c:v>
                </c:pt>
              </c:strCache>
            </c:strRef>
          </c:cat>
          <c:val>
            <c:numRef>
              <c:f>Sheet1!$B$2:$B$5</c:f>
              <c:numCache>
                <c:formatCode>General</c:formatCode>
                <c:ptCount val="4"/>
                <c:pt idx="0">
                  <c:v>33063.91</c:v>
                </c:pt>
                <c:pt idx="1">
                  <c:v>11621.06</c:v>
                </c:pt>
                <c:pt idx="2">
                  <c:v>2765.16</c:v>
                </c:pt>
                <c:pt idx="3">
                  <c:v>-240.97</c:v>
                </c:pt>
              </c:numCache>
            </c:numRef>
          </c:val>
        </c:ser>
        <c:dLbls>
          <c:showLegendKey val="0"/>
          <c:showVal val="0"/>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2022年支出决算</c:v>
                </c:pt>
              </c:strCache>
            </c:strRef>
          </c:tx>
          <c:explosion val="0"/>
          <c:dPt>
            <c:idx val="0"/>
            <c:bubble3D val="0"/>
          </c:dPt>
          <c:dPt>
            <c:idx val="1"/>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Sheet1!$A$2:$A$3</c:f>
              <c:strCache>
                <c:ptCount val="2"/>
                <c:pt idx="0">
                  <c:v>基本支出</c:v>
                </c:pt>
                <c:pt idx="1">
                  <c:v>项目支出</c:v>
                </c:pt>
              </c:strCache>
            </c:strRef>
          </c:cat>
          <c:val>
            <c:numRef>
              <c:f>Sheet1!$B$2:$B$3</c:f>
              <c:numCache>
                <c:formatCode>General</c:formatCode>
                <c:ptCount val="2"/>
                <c:pt idx="0">
                  <c:v>24479.23</c:v>
                </c:pt>
                <c:pt idx="1">
                  <c:v>22068.57</c:v>
                </c:pt>
              </c:numCache>
            </c:numRef>
          </c:val>
        </c:ser>
        <c:dLbls>
          <c:showLegendKey val="0"/>
          <c:showVal val="0"/>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2021年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c:f>
              <c:strCache>
                <c:ptCount val="1"/>
                <c:pt idx="0">
                  <c:v>财政拨款收、支决算总额</c:v>
                </c:pt>
              </c:strCache>
            </c:strRef>
          </c:cat>
          <c:val>
            <c:numRef>
              <c:f>Sheet1!$B$2</c:f>
              <c:numCache>
                <c:formatCode>General</c:formatCode>
                <c:ptCount val="1"/>
                <c:pt idx="0">
                  <c:v>29624.56</c:v>
                </c:pt>
              </c:numCache>
            </c:numRef>
          </c:val>
        </c:ser>
        <c:ser>
          <c:idx val="1"/>
          <c:order val="1"/>
          <c:tx>
            <c:strRef>
              <c:f>Sheet1!$C$1</c:f>
              <c:strCache>
                <c:ptCount val="1"/>
                <c:pt idx="0">
                  <c:v>2022年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c:f>
              <c:strCache>
                <c:ptCount val="1"/>
                <c:pt idx="0">
                  <c:v>财政拨款收、支决算总额</c:v>
                </c:pt>
              </c:strCache>
            </c:strRef>
          </c:cat>
          <c:val>
            <c:numRef>
              <c:f>Sheet1!$C$2</c:f>
              <c:numCache>
                <c:formatCode>General</c:formatCode>
                <c:ptCount val="1"/>
                <c:pt idx="0">
                  <c:v>33063.91</c:v>
                </c:pt>
              </c:numCache>
            </c:numRef>
          </c:val>
        </c:ser>
        <c:dLbls>
          <c:showLegendKey val="0"/>
          <c:showVal val="0"/>
          <c:showCatName val="0"/>
          <c:showSerName val="0"/>
          <c:showPercent val="0"/>
          <c:showBubbleSize val="0"/>
        </c:dLbls>
        <c:gapWidth val="150"/>
        <c:axId val="299013120"/>
        <c:axId val="298599552"/>
      </c:barChart>
      <c:catAx>
        <c:axId val="299013120"/>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98599552"/>
        <c:crosses val="autoZero"/>
        <c:auto val="1"/>
        <c:lblAlgn val="ctr"/>
        <c:lblOffset val="100"/>
        <c:noMultiLvlLbl val="0"/>
      </c:catAx>
      <c:valAx>
        <c:axId val="298599552"/>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99013120"/>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2021</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c:f>
              <c:strCache>
                <c:ptCount val="1"/>
                <c:pt idx="0">
                  <c:v>一般公共预算财政拨款</c:v>
                </c:pt>
              </c:strCache>
            </c:strRef>
          </c:cat>
          <c:val>
            <c:numRef>
              <c:f>Sheet1!$B$2</c:f>
              <c:numCache>
                <c:formatCode>General</c:formatCode>
                <c:ptCount val="1"/>
                <c:pt idx="0">
                  <c:v>29463.37</c:v>
                </c:pt>
              </c:numCache>
            </c:numRef>
          </c:val>
        </c:ser>
        <c:ser>
          <c:idx val="1"/>
          <c:order val="1"/>
          <c:tx>
            <c:strRef>
              <c:f>Sheet1!$C$1</c:f>
              <c:strCache>
                <c:ptCount val="1"/>
                <c:pt idx="0">
                  <c:v>2022</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c:f>
              <c:strCache>
                <c:ptCount val="1"/>
                <c:pt idx="0">
                  <c:v>一般公共预算财政拨款</c:v>
                </c:pt>
              </c:strCache>
            </c:strRef>
          </c:cat>
          <c:val>
            <c:numRef>
              <c:f>Sheet1!$C$2</c:f>
              <c:numCache>
                <c:formatCode>General</c:formatCode>
                <c:ptCount val="1"/>
                <c:pt idx="0">
                  <c:v>33063.91</c:v>
                </c:pt>
              </c:numCache>
            </c:numRef>
          </c:val>
        </c:ser>
        <c:dLbls>
          <c:showLegendKey val="0"/>
          <c:showVal val="0"/>
          <c:showCatName val="0"/>
          <c:showSerName val="0"/>
          <c:showPercent val="0"/>
          <c:showBubbleSize val="0"/>
        </c:dLbls>
        <c:gapWidth val="150"/>
        <c:axId val="299015680"/>
        <c:axId val="298600704"/>
      </c:barChart>
      <c:catAx>
        <c:axId val="299015680"/>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98600704"/>
        <c:crosses val="autoZero"/>
        <c:auto val="1"/>
        <c:lblAlgn val="ctr"/>
        <c:lblOffset val="100"/>
        <c:noMultiLvlLbl val="0"/>
      </c:catAx>
      <c:valAx>
        <c:axId val="298600704"/>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99015680"/>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列1</c:v>
                </c:pt>
              </c:strCache>
            </c:strRef>
          </c:tx>
          <c:explosion val="0"/>
          <c:dPt>
            <c:idx val="0"/>
            <c:bubble3D val="0"/>
          </c:dPt>
          <c:dPt>
            <c:idx val="1"/>
            <c:bubble3D val="0"/>
          </c:dPt>
          <c:dPt>
            <c:idx val="2"/>
            <c:bubble3D val="0"/>
          </c:dPt>
          <c:dPt>
            <c:idx val="3"/>
            <c:bubble3D val="0"/>
          </c:dPt>
          <c:dPt>
            <c:idx val="4"/>
            <c:bubble3D val="0"/>
          </c:dPt>
          <c:dLbls>
            <c:dLbl>
              <c:idx val="2"/>
              <c:layout>
                <c:manualLayout>
                  <c:x val="0.176597936249721"/>
                  <c:y val="0.0987325243195174"/>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119487656047229"/>
                  <c:y val="0.0067043885564254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113714841284128"/>
                  <c:y val="0.0068359765439560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Sheet1!$A$2:$A$6</c:f>
              <c:strCache>
                <c:ptCount val="5"/>
                <c:pt idx="0">
                  <c:v>教育支出</c:v>
                </c:pt>
                <c:pt idx="1">
                  <c:v>科学技术支出</c:v>
                </c:pt>
                <c:pt idx="2">
                  <c:v>社会保障和就业支出</c:v>
                </c:pt>
                <c:pt idx="3">
                  <c:v>债务利息支出</c:v>
                </c:pt>
                <c:pt idx="4">
                  <c:v>一般公共服务支出</c:v>
                </c:pt>
              </c:strCache>
            </c:strRef>
          </c:cat>
          <c:val>
            <c:numRef>
              <c:f>Sheet1!$B$2:$B$6</c:f>
              <c:numCache>
                <c:formatCode>General</c:formatCode>
                <c:ptCount val="5"/>
                <c:pt idx="0">
                  <c:v>32724.25</c:v>
                </c:pt>
                <c:pt idx="1">
                  <c:v>64.27</c:v>
                </c:pt>
                <c:pt idx="2">
                  <c:v>5.14</c:v>
                </c:pt>
                <c:pt idx="3">
                  <c:v>270</c:v>
                </c:pt>
                <c:pt idx="4">
                  <c:v>0.25</c:v>
                </c:pt>
              </c:numCache>
            </c:numRef>
          </c:val>
        </c:ser>
        <c:dLbls>
          <c:showLegendKey val="0"/>
          <c:showVal val="0"/>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Sheet1!$A$2</c:f>
              <c:strCache>
                <c:ptCount val="1"/>
                <c:pt idx="0">
                  <c:v>公务用车购置及运行维护费支出</c:v>
                </c:pt>
              </c:strCache>
            </c:strRef>
          </c:tx>
          <c:explosion val="0"/>
          <c:dPt>
            <c:idx val="0"/>
            <c:bubble3D val="0"/>
          </c:dPt>
          <c:dPt>
            <c:idx val="1"/>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Sheet1!$A$2:$A$3</c:f>
              <c:strCache>
                <c:ptCount val="2"/>
                <c:pt idx="0">
                  <c:v>公务用车购置及运行维护费支出</c:v>
                </c:pt>
                <c:pt idx="1">
                  <c:v>公务接待费支出</c:v>
                </c:pt>
              </c:strCache>
            </c:strRef>
          </c:cat>
          <c:val>
            <c:numRef>
              <c:f>Sheet1!$B$2:$B$3</c:f>
              <c:numCache>
                <c:formatCode>General</c:formatCode>
                <c:ptCount val="2"/>
                <c:pt idx="0">
                  <c:v>14.92</c:v>
                </c:pt>
                <c:pt idx="1">
                  <c:v>5.01</c:v>
                </c:pt>
              </c:numCache>
            </c:numRef>
          </c:val>
        </c:ser>
        <c:ser>
          <c:idx val="1"/>
          <c:order val="1"/>
          <c:tx>
            <c:strRef>
              <c:f>Sheet1!$A$3</c:f>
              <c:strCache>
                <c:ptCount val="1"/>
                <c:pt idx="0">
                  <c:v>公务接待费支出</c:v>
                </c:pt>
              </c:strCache>
            </c:strRef>
          </c:tx>
          <c:explosion val="0"/>
          <c:dPt>
            <c:idx val="0"/>
            <c:bubble3D val="0"/>
          </c:dPt>
          <c:dLbls>
            <c:delete val="1"/>
          </c:dLbls>
          <c:cat>
            <c:strRef>
              <c:f>Sheet1!$A$2:$A$3</c:f>
              <c:strCache>
                <c:ptCount val="2"/>
                <c:pt idx="0">
                  <c:v>公务用车购置及运行维护费支出</c:v>
                </c:pt>
                <c:pt idx="1">
                  <c:v>公务接待费支出</c:v>
                </c:pt>
              </c:strCache>
            </c:strRef>
          </c:cat>
          <c:val>
            <c:numRef>
              <c:f>Sheet1!#REF!</c:f>
              <c:numCache>
                <c:formatCode>General</c:formatCode>
                <c:ptCount val="1"/>
                <c:pt idx="0">
                  <c:v>1</c:v>
                </c:pt>
              </c:numCache>
            </c:numRef>
          </c:val>
        </c:ser>
        <c:dLbls>
          <c:showLegendKey val="0"/>
          <c:showVal val="0"/>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86547-055E-4D88-B8FA-F650D6FB7793}">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28</Pages>
  <Words>9848</Words>
  <Characters>11707</Characters>
  <Lines>212</Lines>
  <Paragraphs>59</Paragraphs>
  <TotalTime>18</TotalTime>
  <ScaleCrop>false</ScaleCrop>
  <LinksUpToDate>false</LinksUpToDate>
  <CharactersWithSpaces>12226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2020-08-05T01:49:00Z</dcterms:created>
  <dc:creator>曹颖</dc:creator>
  <cp:lastModifiedBy>Administrator</cp:lastModifiedBy>
  <cp:lastPrinted>2023-07-31T02:35:00Z</cp:lastPrinted>
  <dcterms:modified xsi:type="dcterms:W3CDTF">2023-09-06T02:58:00Z</dcterms:modified>
  <dc:title>四川省***</dc:title>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74470C3010B84147913424EC536BD1AB_12</vt:lpwstr>
  </property>
</Properties>
</file>