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75" w:rsidRDefault="00593575" w:rsidP="00014FC8">
      <w:pPr>
        <w:jc w:val="left"/>
        <w:rPr>
          <w:sz w:val="24"/>
          <w:szCs w:val="24"/>
        </w:rPr>
      </w:pPr>
    </w:p>
    <w:p w:rsidR="00593575" w:rsidRPr="00E67408" w:rsidRDefault="00593575" w:rsidP="00E67408">
      <w:pPr>
        <w:pStyle w:val="lanse"/>
        <w:shd w:val="clear" w:color="auto" w:fill="FFFFFF"/>
        <w:ind w:firstLine="480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E6740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附件2：清缴标准判定</w:t>
      </w:r>
    </w:p>
    <w:p w:rsidR="00E67408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</w:pPr>
      <w:r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一、汇算清缴关键词</w:t>
      </w:r>
    </w:p>
    <w:p w:rsidR="00E67408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年度汇算：简单来说，是“合并全年收入，按年计算税款”，然后多退少补。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其</w:t>
      </w:r>
      <w:r w:rsidRPr="00E67408">
        <w:rPr>
          <w:rStyle w:val="bjh-strong"/>
          <w:rFonts w:asciiTheme="minorEastAsia" w:eastAsiaTheme="minorEastAsia" w:hAnsiTheme="minorEastAsia" w:cs="Arial"/>
          <w:bCs/>
          <w:color w:val="000000" w:themeColor="text1"/>
          <w:szCs w:val="27"/>
        </w:rPr>
        <w:t>计算公式</w:t>
      </w:r>
      <w:r w:rsidRPr="00E67408">
        <w:rPr>
          <w:rStyle w:val="bjh-strong"/>
          <w:rFonts w:asciiTheme="minorEastAsia" w:eastAsiaTheme="minorEastAsia" w:hAnsiTheme="minorEastAsia" w:cs="Arial" w:hint="eastAsia"/>
          <w:bCs/>
          <w:color w:val="000000" w:themeColor="text1"/>
          <w:szCs w:val="27"/>
        </w:rPr>
        <w:t>为：</w:t>
      </w:r>
    </w:p>
    <w:p w:rsidR="00E67408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2019年度汇算应退或应补税额=[(综合所得收入额-60000元-“三险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一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金”等专项扣除-子女教育等专项附加扣除-依法确定的其他扣除-捐赠)×适用税率-速算扣除数]-2019年已预缴税额</w:t>
      </w:r>
    </w:p>
    <w:p w:rsidR="00593575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</w:pPr>
      <w:r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二</w:t>
      </w:r>
      <w:r w:rsidR="00593575"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、</w:t>
      </w:r>
      <w:r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  <w:t>以下四种情况不用办理个税汇算清缴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1.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综合所得年收入不超过12万元，不论补税金额多少，均不需要办理；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2.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补税金额不超过400元，不论综合所得年收入的高低，也不需要办理；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3.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平时已经预缴的税额与年度应纳税额一致，也不需要办理；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4.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如果纳税人自愿放弃退税，也不需要办理。</w:t>
      </w:r>
    </w:p>
    <w:p w:rsidR="00593575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</w:pPr>
      <w:r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三</w:t>
      </w:r>
      <w:r w:rsidR="00593575"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、以下</w:t>
      </w:r>
      <w:r w:rsidR="00593575" w:rsidRPr="00E67408"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  <w:t>七种情况可能产生退税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strong"/>
          <w:rFonts w:asciiTheme="minorEastAsia" w:eastAsiaTheme="minorEastAsia" w:hAnsiTheme="minorEastAsia" w:cs="Arial" w:hint="eastAsia"/>
          <w:bCs/>
          <w:color w:val="000000" w:themeColor="text1"/>
          <w:szCs w:val="27"/>
        </w:rPr>
        <w:t>1.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2019年度综合所得年收入额不足6万元，但平时预缴过个人所得税的；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2.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2019年度有符合享受条件的专项附加扣除，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但预缴税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款时没有申报扣除的；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3.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因年中就业、退职或者部分月份没有收入等原因，减除费用6万元、“三险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一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金”等专项扣除、子女教育等专项附加扣除、企业(职业)年金以及商业健康保险、税收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递延型养老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保险等扣除不充分的；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4.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没有任职受雇单位，仅取得劳务报酬、稿酬、特许权使用费所得，需要通过年度汇算办理各种税前扣除的;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5.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纳税人取得劳务报酬、稿酬、特许权使用费所得，年度中间适用的预扣率高于全年综合所得年适用税率的;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6.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预缴税款时，未申报享受或者未足额享受综合所得税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收优惠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的，如残疾人减征个人所得税优惠等；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="542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7.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有符合条件的公益慈善事业捐赠支出，</w:t>
      </w:r>
      <w:proofErr w:type="gramStart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但预缴税</w:t>
      </w:r>
      <w:proofErr w:type="gramEnd"/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款时未办理扣除的等。</w:t>
      </w:r>
    </w:p>
    <w:p w:rsidR="00593575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除此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七种情况可能产生退税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外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，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如</w:t>
      </w:r>
      <w:r w:rsidRPr="00E67408">
        <w:rPr>
          <w:rStyle w:val="bjh-strong"/>
          <w:rFonts w:asciiTheme="minorEastAsia" w:eastAsiaTheme="minorEastAsia" w:hAnsiTheme="minorEastAsia" w:cs="Arial"/>
          <w:bCs/>
          <w:color w:val="000000" w:themeColor="text1"/>
          <w:szCs w:val="27"/>
        </w:rPr>
        <w:t>综合所得年收入超过12万元且年度汇算补税金额在400元以上的纳税人，</w:t>
      </w:r>
      <w:r w:rsidRPr="00E67408">
        <w:rPr>
          <w:rStyle w:val="bjh-strong"/>
          <w:rFonts w:asciiTheme="minorEastAsia" w:eastAsiaTheme="minorEastAsia" w:hAnsiTheme="minorEastAsia" w:cs="Arial" w:hint="eastAsia"/>
          <w:bCs/>
          <w:color w:val="000000" w:themeColor="text1"/>
          <w:szCs w:val="27"/>
        </w:rPr>
        <w:t>就</w:t>
      </w:r>
      <w:r w:rsidRPr="00E67408">
        <w:rPr>
          <w:rStyle w:val="bjh-strong"/>
          <w:rFonts w:asciiTheme="minorEastAsia" w:eastAsiaTheme="minorEastAsia" w:hAnsiTheme="minorEastAsia" w:cs="Arial"/>
          <w:bCs/>
          <w:color w:val="000000" w:themeColor="text1"/>
          <w:szCs w:val="27"/>
        </w:rPr>
        <w:t>需要办理年度汇算并补税。</w:t>
      </w:r>
    </w:p>
    <w:p w:rsidR="00593575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  <w:b/>
          <w:color w:val="000000" w:themeColor="text1"/>
        </w:rPr>
      </w:pPr>
      <w:r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四</w:t>
      </w:r>
      <w:r w:rsidR="00593575"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、</w:t>
      </w:r>
      <w:r w:rsidR="00593575" w:rsidRPr="00E67408"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  <w:t>办理相关手续</w:t>
      </w:r>
      <w:r w:rsidR="00593575" w:rsidRPr="00E67408">
        <w:rPr>
          <w:rStyle w:val="bjh-strong"/>
          <w:rFonts w:asciiTheme="minorEastAsia" w:eastAsiaTheme="minorEastAsia" w:hAnsiTheme="minorEastAsia" w:cs="Arial" w:hint="eastAsia"/>
          <w:b/>
          <w:bCs/>
          <w:color w:val="000000" w:themeColor="text1"/>
          <w:szCs w:val="27"/>
        </w:rPr>
        <w:t>的</w:t>
      </w:r>
      <w:r w:rsidR="00593575" w:rsidRPr="00E67408">
        <w:rPr>
          <w:rStyle w:val="bjh-strong"/>
          <w:rFonts w:asciiTheme="minorEastAsia" w:eastAsiaTheme="minorEastAsia" w:hAnsiTheme="minorEastAsia" w:cs="Arial"/>
          <w:b/>
          <w:bCs/>
          <w:color w:val="000000" w:themeColor="text1"/>
          <w:szCs w:val="27"/>
        </w:rPr>
        <w:t>方法</w:t>
      </w:r>
    </w:p>
    <w:p w:rsidR="00E67408" w:rsidRPr="00E67408" w:rsidRDefault="00593575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Style w:val="bjh-p"/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1.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自行办理</w:t>
      </w:r>
      <w:r w:rsidR="00E67408"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。</w:t>
      </w:r>
      <w:r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纳税人可以通过个人所得税APP、网页端等方式完成</w:t>
      </w:r>
      <w:r w:rsidR="00E67408"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。</w:t>
      </w:r>
      <w:r w:rsidR="00E67408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按照步骤操作，办理相关退税或者补税并不复杂。</w:t>
      </w:r>
    </w:p>
    <w:p w:rsidR="00593575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2.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不</w:t>
      </w:r>
      <w:proofErr w:type="gramStart"/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方便通过</w:t>
      </w:r>
      <w:proofErr w:type="gramEnd"/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电子渠道办理的，也可以通过邮寄的方式申报办理。</w:t>
      </w:r>
    </w:p>
    <w:p w:rsidR="00593575" w:rsidRPr="00E67408" w:rsidRDefault="00E67408" w:rsidP="00E67408">
      <w:pPr>
        <w:pStyle w:val="a6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 w:cs="Arial"/>
          <w:color w:val="000000" w:themeColor="text1"/>
        </w:rPr>
      </w:pP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3.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请任职受雇的单位办理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。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采用这种方式办理的纳税人，应当</w:t>
      </w:r>
      <w:r w:rsidR="00593575" w:rsidRPr="00E67408">
        <w:rPr>
          <w:rStyle w:val="bjh-p"/>
          <w:rFonts w:asciiTheme="minorEastAsia" w:eastAsiaTheme="minorEastAsia" w:hAnsiTheme="minorEastAsia" w:cs="Arial"/>
          <w:b/>
          <w:color w:val="000000" w:themeColor="text1"/>
        </w:rPr>
        <w:t>将除该单位以外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的2019年度全部综合所得收入、扣除、享受税收优惠等信息资料提供给扣缴义务人(单位)。还可以委托涉税专业服务机构或其他单位及个人代办，受托人需要与纳税人签订委托授权书并留存。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采用此方式办理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，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纳税人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需在4月30日前与单位</w:t>
      </w:r>
      <w:r w:rsidRPr="00E67408">
        <w:rPr>
          <w:rStyle w:val="bjh-p"/>
          <w:rFonts w:asciiTheme="minorEastAsia" w:eastAsiaTheme="minorEastAsia" w:hAnsiTheme="minorEastAsia" w:cs="Arial" w:hint="eastAsia"/>
          <w:color w:val="000000" w:themeColor="text1"/>
        </w:rPr>
        <w:t>对前述收入、扣除和享受税收优惠等信息资料</w:t>
      </w:r>
      <w:r w:rsidR="00593575" w:rsidRPr="00E67408">
        <w:rPr>
          <w:rStyle w:val="bjh-p"/>
          <w:rFonts w:asciiTheme="minorEastAsia" w:eastAsiaTheme="minorEastAsia" w:hAnsiTheme="minorEastAsia" w:cs="Arial"/>
          <w:color w:val="000000" w:themeColor="text1"/>
        </w:rPr>
        <w:t>进行书面确认；逾期未确认的，需在6月30日前自行办理。</w:t>
      </w:r>
    </w:p>
    <w:p w:rsidR="00257C96" w:rsidRPr="00257C96" w:rsidRDefault="00257C96" w:rsidP="00014FC8">
      <w:pPr>
        <w:widowControl/>
        <w:shd w:val="clear" w:color="auto" w:fill="FFFFFF"/>
        <w:jc w:val="left"/>
        <w:rPr>
          <w:rFonts w:ascii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257C96">
        <w:rPr>
          <w:rFonts w:asciiTheme="minorEastAsia" w:hAnsiTheme="minorEastAsia"/>
          <w:color w:val="000000" w:themeColor="text1"/>
          <w:szCs w:val="24"/>
        </w:rPr>
        <w:t xml:space="preserve"> </w:t>
      </w:r>
    </w:p>
    <w:sectPr w:rsidR="00257C96" w:rsidRPr="0025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6BF"/>
    <w:multiLevelType w:val="hybridMultilevel"/>
    <w:tmpl w:val="9E1C0402"/>
    <w:lvl w:ilvl="0" w:tplc="8B1085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046FD"/>
    <w:multiLevelType w:val="hybridMultilevel"/>
    <w:tmpl w:val="51268FEE"/>
    <w:lvl w:ilvl="0" w:tplc="424A9060">
      <w:start w:val="1"/>
      <w:numFmt w:val="japaneseCount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2">
    <w:nsid w:val="2A3B4E2C"/>
    <w:multiLevelType w:val="hybridMultilevel"/>
    <w:tmpl w:val="0768698A"/>
    <w:lvl w:ilvl="0" w:tplc="E10665F0">
      <w:start w:val="1"/>
      <w:numFmt w:val="japaneseCounting"/>
      <w:lvlText w:val="%1、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3">
    <w:nsid w:val="65205A0A"/>
    <w:multiLevelType w:val="hybridMultilevel"/>
    <w:tmpl w:val="C2C806AE"/>
    <w:lvl w:ilvl="0" w:tplc="9A84394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8"/>
    <w:rsid w:val="00014FC8"/>
    <w:rsid w:val="00074C82"/>
    <w:rsid w:val="00257C96"/>
    <w:rsid w:val="003028C7"/>
    <w:rsid w:val="0048406C"/>
    <w:rsid w:val="00593575"/>
    <w:rsid w:val="00741112"/>
    <w:rsid w:val="00D26C59"/>
    <w:rsid w:val="00E67408"/>
    <w:rsid w:val="00E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1E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1E98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F1E9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F1E98"/>
  </w:style>
  <w:style w:type="paragraph" w:customStyle="1" w:styleId="lanse">
    <w:name w:val="lanse"/>
    <w:basedOn w:val="a"/>
    <w:rsid w:val="0074111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yanse">
    <w:name w:val="yanse"/>
    <w:basedOn w:val="a0"/>
    <w:rsid w:val="00741112"/>
  </w:style>
  <w:style w:type="paragraph" w:styleId="a6">
    <w:name w:val="Normal (Web)"/>
    <w:basedOn w:val="a"/>
    <w:uiPriority w:val="99"/>
    <w:semiHidden/>
    <w:unhideWhenUsed/>
    <w:rsid w:val="00593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593575"/>
  </w:style>
  <w:style w:type="character" w:customStyle="1" w:styleId="bjh-strong">
    <w:name w:val="bjh-strong"/>
    <w:basedOn w:val="a0"/>
    <w:rsid w:val="00593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1E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1E98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F1E9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F1E98"/>
  </w:style>
  <w:style w:type="paragraph" w:customStyle="1" w:styleId="lanse">
    <w:name w:val="lanse"/>
    <w:basedOn w:val="a"/>
    <w:rsid w:val="0074111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yanse">
    <w:name w:val="yanse"/>
    <w:basedOn w:val="a0"/>
    <w:rsid w:val="00741112"/>
  </w:style>
  <w:style w:type="paragraph" w:styleId="a6">
    <w:name w:val="Normal (Web)"/>
    <w:basedOn w:val="a"/>
    <w:uiPriority w:val="99"/>
    <w:semiHidden/>
    <w:unhideWhenUsed/>
    <w:rsid w:val="00593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593575"/>
  </w:style>
  <w:style w:type="character" w:customStyle="1" w:styleId="bjh-strong">
    <w:name w:val="bjh-strong"/>
    <w:basedOn w:val="a0"/>
    <w:rsid w:val="0059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0888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6644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240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8878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C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073">
              <w:marLeft w:val="0"/>
              <w:marRight w:val="0"/>
              <w:marTop w:val="0"/>
              <w:marBottom w:val="0"/>
              <w:divBdr>
                <w:top w:val="single" w:sz="6" w:space="0" w:color="DEDCD8"/>
                <w:left w:val="single" w:sz="6" w:space="0" w:color="DEDCD8"/>
                <w:bottom w:val="single" w:sz="6" w:space="0" w:color="DEDCD8"/>
                <w:right w:val="single" w:sz="6" w:space="0" w:color="DEDCD8"/>
              </w:divBdr>
              <w:divsChild>
                <w:div w:id="2038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C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靳能泉</dc:creator>
  <cp:lastModifiedBy>USER</cp:lastModifiedBy>
  <cp:revision>3</cp:revision>
  <dcterms:created xsi:type="dcterms:W3CDTF">2020-04-03T01:39:00Z</dcterms:created>
  <dcterms:modified xsi:type="dcterms:W3CDTF">2020-04-04T03:24:00Z</dcterms:modified>
</cp:coreProperties>
</file>